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版本号：KCHZZB-2026-002120260518003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2026年镇巴县渔渡镇渔渡坝社区农田灌溉堰渠工程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KCHZZB-2026-0021</w:t>
      </w:r>
      <w:r>
        <w:br/>
      </w:r>
      <w:r>
        <w:br/>
      </w:r>
      <w:r>
        <w:br/>
      </w:r>
    </w:p>
    <w:p>
      <w:pPr>
        <w:pStyle w:val="null3"/>
        <w:jc w:val="center"/>
        <w:outlineLvl w:val="2"/>
      </w:pPr>
      <w:r>
        <w:rPr>
          <w:rFonts w:ascii="仿宋_GB2312" w:hAnsi="仿宋_GB2312" w:cs="仿宋_GB2312" w:eastAsia="仿宋_GB2312"/>
          <w:sz w:val="28"/>
          <w:b/>
        </w:rPr>
        <w:t>镇巴县渔渡镇人民政府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镇巴县渔渡镇人民政府</w:t>
      </w:r>
      <w:r>
        <w:rPr>
          <w:rFonts w:ascii="仿宋_GB2312" w:hAnsi="仿宋_GB2312" w:cs="仿宋_GB2312" w:eastAsia="仿宋_GB2312"/>
        </w:rPr>
        <w:t>委托，拟对</w:t>
      </w:r>
      <w:r>
        <w:rPr>
          <w:rFonts w:ascii="仿宋_GB2312" w:hAnsi="仿宋_GB2312" w:cs="仿宋_GB2312" w:eastAsia="仿宋_GB2312"/>
        </w:rPr>
        <w:t>2026年镇巴县渔渡镇渔渡坝社区农田灌溉堰渠工程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2026年镇巴县渔渡镇渔渡坝社区农田灌溉堰渠工程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镇巴县渔渡镇渔渡坝社区农田灌溉堰渠工程，该项目位于镇巴县渔渡镇渔渡坝社区境内，项目主要内容为：新建拦水坝1座、坝长25米，基础为C20片石混凝土砌筑，坝身采用M7.5浆砌片石砌筑，C25钢筋混凝土衬砌20厘米;新建C25混凝土矩形渠2500米，敷设DN500双壁波纹管200米，建设抽水泵站1座，DN400深水井1座、井深200米，300立方米蓄水池1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采购包1（2026年镇巴县渔渡镇渔渡坝社区农田灌溉堰渠工程）：属于专门面向中小企业采购。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供应商资质：供应商具有行政主管部门核发的水利水电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5、项目负责人：拟派项目经理须具备水利水电工程专业二级（含二级）以上注册建造师资格和安全生产考核合格B证，且无在建项目，供应商需在项目电子化交易系统中按要求上传相应证明文件并进行电子签章；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镇巴县渔渡镇人民政府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陕西省汉中市镇巴县渔渡镇渔渡坝社区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镇巴县渔渡镇人民政府经办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19091681900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采购包1：1,002,290.67元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镇巴县渔渡镇人民政府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镇巴县渔渡镇人民政府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镇巴县渔渡镇人民政府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镇巴县渔渡镇人民政府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1,002,290.67</w:t>
      </w:r>
    </w:p>
    <w:p>
      <w:pPr>
        <w:pStyle w:val="null3"/>
      </w:pPr>
      <w:r>
        <w:rPr>
          <w:rFonts w:ascii="仿宋_GB2312" w:hAnsi="仿宋_GB2312" w:cs="仿宋_GB2312" w:eastAsia="仿宋_GB2312"/>
        </w:rPr>
        <w:t>采购包最高限价（元）: 1,002,290.67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2026年镇巴县渔渡镇渔渡坝社区农田灌溉堰渠工程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1,002,290.67</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标的名称：2026年镇巴县渔渡镇渔渡坝社区农田灌溉堰渠工程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jc w:val="center"/>
            </w:pPr>
            <w:r>
              <w:rPr>
                <w:rFonts w:ascii="仿宋_GB2312" w:hAnsi="仿宋_GB2312" w:cs="仿宋_GB2312" w:eastAsia="仿宋_GB2312"/>
                <w:sz w:val="21"/>
                <w:b/>
              </w:rPr>
              <w:t>2026 年镇巴县渔渡镇渔渡坝社区农田灌溉堰渠工程</w:t>
            </w:r>
          </w:p>
          <w:p>
            <w:pPr>
              <w:pStyle w:val="null3"/>
              <w:spacing w:before="150"/>
              <w:jc w:val="center"/>
            </w:pPr>
            <w:r>
              <w:rPr>
                <w:rFonts w:ascii="仿宋_GB2312" w:hAnsi="仿宋_GB2312" w:cs="仿宋_GB2312" w:eastAsia="仿宋_GB2312"/>
                <w:sz w:val="21"/>
                <w:b/>
              </w:rPr>
              <w:t>工程量清单编制说明</w:t>
            </w:r>
          </w:p>
          <w:p>
            <w:pPr>
              <w:pStyle w:val="null3"/>
              <w:ind w:firstLine="560"/>
              <w:jc w:val="both"/>
            </w:pPr>
            <w:r>
              <w:rPr>
                <w:rFonts w:ascii="仿宋_GB2312" w:hAnsi="仿宋_GB2312" w:cs="仿宋_GB2312" w:eastAsia="仿宋_GB2312"/>
                <w:sz w:val="21"/>
                <w:b/>
              </w:rPr>
              <w:t>一、编制依据:</w:t>
            </w:r>
          </w:p>
          <w:p>
            <w:pPr>
              <w:pStyle w:val="null3"/>
            </w:pPr>
            <w:r>
              <w:rPr>
                <w:rFonts w:ascii="仿宋_GB2312" w:hAnsi="仿宋_GB2312" w:cs="仿宋_GB2312" w:eastAsia="仿宋_GB2312"/>
                <w:sz w:val="21"/>
                <w:b/>
              </w:rPr>
              <w:t>1.《陕西省政府投资管理办法》陕西省人民政府令(第226号)；</w:t>
            </w:r>
          </w:p>
          <w:p>
            <w:pPr>
              <w:pStyle w:val="null3"/>
            </w:pPr>
            <w:r>
              <w:rPr>
                <w:rFonts w:ascii="仿宋_GB2312" w:hAnsi="仿宋_GB2312" w:cs="仿宋_GB2312" w:eastAsia="仿宋_GB2312"/>
                <w:sz w:val="21"/>
                <w:b/>
              </w:rPr>
              <w:t>2、依据陕西省发展和改革委员会陕发改项目[2017]1606号文及陕西省水利厅以陕水规计发[2019]66号文颁发的2017计价编规(《陕西省水利工程设计概(估)算编制规定》、《陕西省水利建筑工程概算定额》、《陕西省水利设备安装工程概算定额》、《陕西省水利建筑工程预算定额》《陕西省水利设备安装工程预算定额》、《陕西省水利工程施工机械台班费定额》)进行编制，并执行陕发改投资[2016]1303号关于《陕西省水利水电工程营业税改增值税计价依据调整办法》文件规定;</w:t>
            </w:r>
          </w:p>
          <w:p>
            <w:pPr>
              <w:pStyle w:val="null3"/>
            </w:pPr>
            <w:r>
              <w:rPr>
                <w:rFonts w:ascii="仿宋_GB2312" w:hAnsi="仿宋_GB2312" w:cs="仿宋_GB2312" w:eastAsia="仿宋_GB2312"/>
                <w:sz w:val="21"/>
                <w:b/>
              </w:rPr>
              <w:t>3、依据信息价、设计图纸等相关资料。</w:t>
            </w:r>
          </w:p>
          <w:p>
            <w:pPr>
              <w:pStyle w:val="null3"/>
            </w:pPr>
            <w:r>
              <w:rPr>
                <w:rFonts w:ascii="仿宋_GB2312" w:hAnsi="仿宋_GB2312" w:cs="仿宋_GB2312" w:eastAsia="仿宋_GB2312"/>
                <w:sz w:val="21"/>
                <w:b/>
              </w:rPr>
              <w:t>二、编制说明</w:t>
            </w:r>
          </w:p>
          <w:p>
            <w:pPr>
              <w:pStyle w:val="null3"/>
            </w:pPr>
            <w:r>
              <w:rPr>
                <w:rFonts w:ascii="仿宋_GB2312" w:hAnsi="仿宋_GB2312" w:cs="仿宋_GB2312" w:eastAsia="仿宋_GB2312"/>
                <w:sz w:val="21"/>
                <w:b/>
              </w:rPr>
              <w:t>1.建设内容：2026年镇巴县渔渡镇渔渡坝社区农田灌溉堰渠工程，位于渔渡镇渔渡坝社区。建设内容为：新建拦水坝1处:拦水坝长25米，顶宽3米，底宽5.5米，坝身高2.5米，基础厚0.5米，宽7.5米。坝身采用M7.5浆砌片石砌筑，20cm厚钢筋混凝土衬砌。基础采用C20片石混凝土砌筑。混凝土渠道:矩形混凝土渠道长2500米。排水管道:DN500HDPE双壁波纹管共长200米。抽水泵1座，300m蓄水池1座。</w:t>
            </w:r>
          </w:p>
          <w:p>
            <w:pPr>
              <w:pStyle w:val="null3"/>
            </w:pPr>
            <w:r>
              <w:rPr>
                <w:rFonts w:ascii="仿宋_GB2312" w:hAnsi="仿宋_GB2312" w:cs="仿宋_GB2312" w:eastAsia="仿宋_GB2312"/>
                <w:sz w:val="21"/>
                <w:b/>
              </w:rPr>
              <w:t>2.编制依据：2026 年镇巴县渔渡镇渔渡坝社区农田灌溉堰渠工程工程设计图纸。</w:t>
            </w:r>
          </w:p>
          <w:p>
            <w:pPr>
              <w:pStyle w:val="null3"/>
            </w:pPr>
            <w:r>
              <w:rPr>
                <w:rFonts w:ascii="仿宋_GB2312" w:hAnsi="仿宋_GB2312" w:cs="仿宋_GB2312" w:eastAsia="仿宋_GB2312"/>
                <w:sz w:val="21"/>
                <w:b/>
              </w:rPr>
              <w:t>3.材料价参考汉中市《汉中建设工程造价信息》2026年2期。</w:t>
            </w:r>
          </w:p>
          <w:p>
            <w:pPr>
              <w:pStyle w:val="null3"/>
            </w:pPr>
            <w:r>
              <w:rPr>
                <w:rFonts w:ascii="仿宋_GB2312" w:hAnsi="仿宋_GB2312" w:cs="仿宋_GB2312" w:eastAsia="仿宋_GB2312"/>
                <w:sz w:val="21"/>
                <w:b/>
              </w:rPr>
              <w:t>4.编制软件：天宇e算造价软件2024修正版。</w:t>
            </w:r>
          </w:p>
          <w:p>
            <w:pPr>
              <w:pStyle w:val="null3"/>
            </w:pPr>
            <w:r>
              <w:rPr>
                <w:rFonts w:ascii="仿宋_GB2312" w:hAnsi="仿宋_GB2312" w:cs="仿宋_GB2312" w:eastAsia="仿宋_GB2312"/>
                <w:sz w:val="21"/>
                <w:b/>
              </w:rPr>
              <w:t>5.本项目不计列暂列金、保险费，其他临时工程费为建筑工程费用的2%。</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供应商具有行政主管部门核发的水利水电工程施工总承包三级（含三级）及以上资质，且具有有效的安全生产许可证，供应商需在项目电子化交易系统中按要求上传相应证明文件并进行电子签章；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拟派项目经理须具备水利水电工程专业二级（含二级）以上注册建造师资格和安全生产考核合格B证，且无在建项目，供应商需在项目电子化交易系统中按要求上传相应证明文件并进行电子签章；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 关于推动解决政府采购异常低价问题的通知》 （财库[2026]2号）文件执行。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技术响应方案.docx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三、赋分标准（满分15分，针对每条评审标准，如存在不合理的方面每处扣0.5分，扣完为止）：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施工进度计划及保障措施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三、赋分标准（满分12分，针对每条评审标准，如存在不合理的方面每处扣0.5分，扣完为止）：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一、评审内容：供应商针对本项目编制完善的质量保证措施，内容包含但不限于：①质量管理工作流程；②工程质量保障方案；③工程质量控制体系；④各施工阶段质量管理措施。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（满分12分，针对每条评审标准，如存在不合理的方面每处扣0.5分，扣完为止）： ①质量管理工作流程：每完全满足一个评审标准得1分，满分3分； ②工程质量保障方案：每完全满足一个评审标准得1分，满分3分；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一、评审内容：投标人针对本项目编制完善的安全文明施工保障措施，内容包含但不限于：①安全施工目标及施工现场的临时管理措施；②安全生产应急预案；③文明施工保证措施；④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 三、赋分标准（满分12分，针对每条评审标准，如存在不合理的方面每处扣0.5分，扣完为止）： ①安全施工目标及施工现场的临时管理措施：每完全满足一个评审标准得1分，满分3分； ②安全生产应急预案：每完全满足一个评审标准得1分 , 满分3分；③文明施工保证措施 ：每完全满足一个评审标准得1分 , 满分3分； ④环境保护控制措施：每完全满足一个评审标准得1分，满分3分；四、未提供者不得分。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三、赋分标准（满分6分，针对每条评审标准，如存在不合理的方面每处扣0.5分，扣完为止）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②施工机械设备投入计划； ③主要施工材料供应计划。 二、评审标准： 1 、完整性：方案必须全面，对评审内容中的各项要求有详细描述； 2 、可实施性：切合本项目实际情况 , 提出步骤清晰、合理的方案； 3 、针对性：方案能够紧扣项目实际情况，内容科学合理。 三、赋分标准（满分9分，针对每条评审标准，如存在不合理的方面每处扣0.5分，扣完为止）：①劳动力资源配置计划：每完全满足一个评审标准得1分，满分3分； ②施工机械设备投入计划：每完全满足一个评审标准得1分，满分3分； ③主要施工材料供应计划：每完全满足一个评审标准得1分，满分3分；四、未提供者不得分。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分，满分4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