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版本号：SXJC-ZC-202601720260626002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2026年磨子桥镇二龙村食用菌产业设施升级改造项目（建筑部分）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SXJC-ZC-2026017</w:t>
      </w:r>
      <w:r>
        <w:br/>
      </w:r>
      <w:r>
        <w:br/>
      </w:r>
      <w:r>
        <w:br/>
      </w:r>
    </w:p>
    <w:p>
      <w:pPr>
        <w:pStyle w:val="null3"/>
        <w:jc w:val="center"/>
        <w:outlineLvl w:val="2"/>
      </w:pPr>
      <w:r>
        <w:rPr>
          <w:rFonts w:ascii="仿宋_GB2312" w:hAnsi="仿宋_GB2312" w:cs="仿宋_GB2312" w:eastAsia="仿宋_GB2312"/>
          <w:sz w:val="28"/>
          <w:b/>
        </w:rPr>
        <w:t>洋县磨子桥镇人民政府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洋县磨子桥镇人民政府</w:t>
      </w:r>
      <w:r>
        <w:rPr>
          <w:rFonts w:ascii="仿宋_GB2312" w:hAnsi="仿宋_GB2312" w:cs="仿宋_GB2312" w:eastAsia="仿宋_GB2312"/>
        </w:rPr>
        <w:t>委托，拟对</w:t>
      </w:r>
      <w:r>
        <w:rPr>
          <w:rFonts w:ascii="仿宋_GB2312" w:hAnsi="仿宋_GB2312" w:cs="仿宋_GB2312" w:eastAsia="仿宋_GB2312"/>
        </w:rPr>
        <w:t>2026年磨子桥镇二龙村食用菌产业设施升级改造项目（建筑部分）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2026年磨子桥镇二龙村食用菌产业设施升级改造项目（建筑部分）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一、项目概况：新建12×6m全钢架镀锌暖棚19座；20×6m全钢架镀锌暖棚11座；新建80㎡结构仓促用房一座及配套室外挡墙、排水沟、电力、给水工程等。（具体详见工程量清单）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采购包1（2026年磨子桥镇二龙村食用菌产业设施升级改造项目（建筑部分））：属于专门面向中小企业采购。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3、企业资质要求：供应商须具备建设行政主管部门颁发的建筑工程施工总承包三级（含三级）及以上资质，具有有效的安全生产许可证。</w:t>
      </w:r>
    </w:p>
    <w:p>
      <w:pPr>
        <w:pStyle w:val="null3"/>
      </w:pPr>
      <w:r>
        <w:rPr>
          <w:rFonts w:ascii="仿宋_GB2312" w:hAnsi="仿宋_GB2312" w:cs="仿宋_GB2312" w:eastAsia="仿宋_GB2312"/>
        </w:rPr>
        <w:t>4、项目经理资格要求：项目经理须具备建筑工程专业二级（含二级）及以上注册建造师资格、具有有效的安全考核合格证（B证），且无在建工程。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洋县磨子桥镇人民政府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洋县磨子桥镇磨子桥街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0916-8482354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 号)、国家发展和改⾰委员会《国家发展改⾰委办公厅关于招标代理服务收费有关问题的通知》( 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洋县磨子桥镇人民政府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洋县磨子桥镇人民政府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洋县磨子桥镇人民政府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用自有知识产权，免费供采购人永久使用；2.使用第三方知识产权须提前书面报备并提供合法授权，未经同意擅自使用引发的侵权责任全部由供应商承担；3.项目新增知识产权权属双方另行协商确定；4.交付产品不得侵权，如产生知识产权纠纷，所有损失由供应商负责；双方对项目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全部工程按工程量清单、采购需求及国家现行施工规范施工，完工后功能、规格、质量达标即为验收合格。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联系人：商女士</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1,490,000.00</w:t>
      </w:r>
    </w:p>
    <w:p>
      <w:pPr>
        <w:pStyle w:val="null3"/>
      </w:pPr>
      <w:r>
        <w:rPr>
          <w:rFonts w:ascii="仿宋_GB2312" w:hAnsi="仿宋_GB2312" w:cs="仿宋_GB2312" w:eastAsia="仿宋_GB2312"/>
        </w:rPr>
        <w:t>采购包最高限价（元）: 1,400,261.26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2026年磨子桥镇二龙村食用菌产业设施升级改造项目（建筑部分）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标的名称：2026年磨子桥镇二龙村食用菌产业设施升级改造项目（建筑部分）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一、项目概况：新建12×6m全钢架镀锌暖棚19座；20×6m全钢架镀锌暖棚11座；新建80㎡结构仓促用房一座及配套室外挡墙、排水沟、电力、给水工程等。</w:t>
            </w:r>
            <w:r>
              <w:rPr>
                <w:rFonts w:ascii="仿宋_GB2312" w:hAnsi="仿宋_GB2312" w:cs="仿宋_GB2312" w:eastAsia="仿宋_GB2312"/>
                <w:sz w:val="24"/>
              </w:rPr>
              <w:t>（具体详见工程量清单）</w:t>
            </w:r>
          </w:p>
          <w:p>
            <w:pPr>
              <w:pStyle w:val="null3"/>
              <w:spacing w:before="105" w:after="105"/>
              <w:jc w:val="left"/>
            </w:pPr>
            <w:r>
              <w:rPr>
                <w:rFonts w:ascii="仿宋_GB2312" w:hAnsi="仿宋_GB2312" w:cs="仿宋_GB2312" w:eastAsia="仿宋_GB2312"/>
                <w:sz w:val="24"/>
              </w:rPr>
              <w:t>二、工期：120日历天。</w:t>
            </w:r>
          </w:p>
          <w:p>
            <w:pPr>
              <w:pStyle w:val="null3"/>
            </w:pPr>
            <w:r>
              <w:rPr>
                <w:rFonts w:ascii="仿宋_GB2312" w:hAnsi="仿宋_GB2312" w:cs="仿宋_GB2312" w:eastAsia="仿宋_GB2312"/>
                <w:sz w:val="24"/>
              </w:rPr>
              <w:t>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供应商须具备建设行政主管部门颁发的建筑工程施工总承包三级（含三级）及以上资质，具有有效的安全生产许可证。</w:t>
            </w:r>
          </w:p>
        </w:tc>
        <w:tc>
          <w:tcPr>
            <w:tcW w:type="dxa" w:w="1661"/>
          </w:tcPr>
          <w:p>
            <w:pPr>
              <w:pStyle w:val="null3"/>
            </w:pPr>
            <w:r>
              <w:rPr>
                <w:rFonts w:ascii="仿宋_GB2312" w:hAnsi="仿宋_GB2312" w:cs="仿宋_GB2312" w:eastAsia="仿宋_GB2312"/>
              </w:rPr>
              <w:t>企业资质要求.pdf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1、磋商报价唯⼀；2、报价货币符合磋商⽂件要求；3、未超出采购预算或采购⽂件规定的最⾼限价。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120⽇历天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企业资质要求.pdf 汉中市政府采购供应商资格承诺函.docx 响应文件封面 项目管理机构组成表 残疾人福利性单位声明函 报价函 标的清单 供应商类似项目业绩一览表 响应函 主要人员简历表 响应文件签署人身份证明.docx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总体施⼯⽅案</w:t>
            </w:r>
          </w:p>
        </w:tc>
        <w:tc>
          <w:tcPr>
            <w:tcW w:type="dxa" w:w="2492"/>
          </w:tcPr>
          <w:p>
            <w:pPr>
              <w:pStyle w:val="null3"/>
            </w:pPr>
            <w:r>
              <w:rPr>
                <w:rFonts w:ascii="仿宋_GB2312" w:hAnsi="仿宋_GB2312" w:cs="仿宋_GB2312" w:eastAsia="仿宋_GB2312"/>
              </w:rPr>
              <w:t>1、施⼯⽅案完整详细、有针对性，重难点分析精准，⼯序搭接、平⾯布置、资源配置科学可⾏，可直接指导施⼯，具有优化建议的得[6-8]分； 2、施⼯⽅案完整、可⾏、有针对性，能满⾜项⽬实施全部要求的得[4-6]分； 3、施⼯⽅案⾮专⻔针对本项⽬，存在逻辑漏洞或前后内容不⼀致的得[2-4]分； 4、施⼯⽅案有较⼤缺陷，或完全套⽤其他项⽬且内容较少的得[0-2]分；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施⼯进度计划保证措施</w:t>
            </w:r>
          </w:p>
        </w:tc>
        <w:tc>
          <w:tcPr>
            <w:tcW w:type="dxa" w:w="2492"/>
          </w:tcPr>
          <w:p>
            <w:pPr>
              <w:pStyle w:val="null3"/>
            </w:pPr>
            <w:r>
              <w:rPr>
                <w:rFonts w:ascii="仿宋_GB2312" w:hAnsi="仿宋_GB2312" w:cs="仿宋_GB2312" w:eastAsia="仿宋_GB2312"/>
              </w:rPr>
              <w:t>1、进度计划保障措施详细⻬全、合理且切实可⾏，关键路径管理清晰，协调机制完善，具有优化建议的得[6-8]分； 2、措施⻬全、合理可⾏，满⾜采购⼈需求的得[4-6]分； 3、措施⾮专⻔针对本项⽬，存在逻辑漏洞或前后内容不⼀致的得[2-4]分； 4、措施有较⼤缺陷，或完全套⽤其他项⽬且内容较少的得[0-2]分；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施⼯质量保证措施</w:t>
            </w:r>
          </w:p>
        </w:tc>
        <w:tc>
          <w:tcPr>
            <w:tcW w:type="dxa" w:w="2492"/>
          </w:tcPr>
          <w:p>
            <w:pPr>
              <w:pStyle w:val="null3"/>
            </w:pPr>
            <w:r>
              <w:rPr>
                <w:rFonts w:ascii="仿宋_GB2312" w:hAnsi="仿宋_GB2312" w:cs="仿宋_GB2312" w:eastAsia="仿宋_GB2312"/>
              </w:rPr>
              <w:t>1、措施计划详细⻬全、合理且切实可⾏，完全满⾜采购⼈需求，具有优化建议的得[6-8]分； 2、措施计划⻬全、合理、切实可⾏，满⾜采购⼈需求的得[4-6]分； 3、措施计划⾮专⻔针对本项⽬，存在逻辑漏洞或前后内容不⼀致的得[2-4]分； 4、措施计划有较⼤缺陷，或完全套⽤其他项⽬且内容较少的得[0-2]分；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⽂明施⼯及环境保护措施</w:t>
            </w:r>
          </w:p>
        </w:tc>
        <w:tc>
          <w:tcPr>
            <w:tcW w:type="dxa" w:w="2492"/>
          </w:tcPr>
          <w:p>
            <w:pPr>
              <w:pStyle w:val="null3"/>
            </w:pPr>
            <w:r>
              <w:rPr>
                <w:rFonts w:ascii="仿宋_GB2312" w:hAnsi="仿宋_GB2312" w:cs="仿宋_GB2312" w:eastAsia="仿宋_GB2312"/>
              </w:rPr>
              <w:t>1、措施计划详细⻬全、针对本项⽬特点制定扬尘、噪声、污⽔、现场管控措施，完全满⾜采购⼈需求，具有优化建议的得[6-8]分； 2、措施较完整，基本满⾜本项⽬现场及规范管理要求的得[4-6]分； 3、措施内容简单，针对性不强，现场管控不到位，存在逻辑漏洞或前后内容不⼀致的得[2-4]分； 4、措施有较⼤缺陷，或完全套⽤其他项⽬且内容较少的得[0-2]分；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施⼯安全保证措施</w:t>
            </w:r>
          </w:p>
        </w:tc>
        <w:tc>
          <w:tcPr>
            <w:tcW w:type="dxa" w:w="2492"/>
          </w:tcPr>
          <w:p>
            <w:pPr>
              <w:pStyle w:val="null3"/>
            </w:pPr>
            <w:r>
              <w:rPr>
                <w:rFonts w:ascii="仿宋_GB2312" w:hAnsi="仿宋_GB2312" w:cs="仿宋_GB2312" w:eastAsia="仿宋_GB2312"/>
              </w:rPr>
              <w:t>1、提供具体详细、有针对性的安全作业⽅案及安全配套措施，完全符合采购⼈安全作业要求且具有优化建议的，得[6-8]分； 2、提供安全作业⽅案及安全配套措施，符合采购⼈安全作业要求的，得[4-6]分； 3、提供的⽅案⾮专⻔针对本项⽬，套⽤其他项⽬内容，存在逻辑漏洞或前后内容不⼀致的得[2-4]分； 4、⽅案简陋，存在不利于采购⼈安全作业要求实现的，得[0-2]分；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1、质量保修承诺完整、合理，后续服务条款具体、可⾏，得[3-5]分； 2、质量保修承诺较含糊，后续服务条款基本可⾏，得[2-3]分； 3、保修内容简单，范围与期限不清晰，服务措施笼统、可操作性差，得[0-2]分；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项⽬管理⼈员配备</w:t>
            </w:r>
          </w:p>
        </w:tc>
        <w:tc>
          <w:tcPr>
            <w:tcW w:type="dxa" w:w="2492"/>
          </w:tcPr>
          <w:p>
            <w:pPr>
              <w:pStyle w:val="null3"/>
            </w:pPr>
            <w:r>
              <w:rPr>
                <w:rFonts w:ascii="仿宋_GB2312" w:hAnsi="仿宋_GB2312" w:cs="仿宋_GB2312" w:eastAsia="仿宋_GB2312"/>
              </w:rPr>
              <w:t>1、机构设置合理完善，⼈员职责分⼯清晰，专业配置完全满⾜项⽬需求得[4-5]分； 2、机构设置合理，⼈员职责基本明确，满⾜项⽬需求得[2-4]分； 3、机构设置、⼈员配备有较⼤缺陷，或不能满⾜项⽬需求的得[0-2]分；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施⼯⼯期保障措施</w:t>
            </w:r>
          </w:p>
        </w:tc>
        <w:tc>
          <w:tcPr>
            <w:tcW w:type="dxa" w:w="2492"/>
          </w:tcPr>
          <w:p>
            <w:pPr>
              <w:pStyle w:val="null3"/>
            </w:pPr>
            <w:r>
              <w:rPr>
                <w:rFonts w:ascii="仿宋_GB2312" w:hAnsi="仿宋_GB2312" w:cs="仿宋_GB2312" w:eastAsia="仿宋_GB2312"/>
              </w:rPr>
              <w:t>提供施⼯⼯期保障措施⽅案，内容需包含：进度计划、资源调配⽅案、赶⼯措施。每缺少⼀项核⼼内容扣1分，扣完为⽌；不提供⽅案得0分。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施⼯总平⾯布置图</w:t>
            </w:r>
          </w:p>
        </w:tc>
        <w:tc>
          <w:tcPr>
            <w:tcW w:type="dxa" w:w="2492"/>
          </w:tcPr>
          <w:p>
            <w:pPr>
              <w:pStyle w:val="null3"/>
            </w:pPr>
            <w:r>
              <w:rPr>
                <w:rFonts w:ascii="仿宋_GB2312" w:hAnsi="仿宋_GB2312" w:cs="仿宋_GB2312" w:eastAsia="仿宋_GB2312"/>
              </w:rPr>
              <w:t>提供施⼯总平⾯布置图，图中需明确标注材料堆场、加⼯区、办公⽣活区等要素，得4分；未提供或要素不全的，不得分。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售后服务⽅案</w:t>
            </w:r>
          </w:p>
        </w:tc>
        <w:tc>
          <w:tcPr>
            <w:tcW w:type="dxa" w:w="2492"/>
          </w:tcPr>
          <w:p>
            <w:pPr>
              <w:pStyle w:val="null3"/>
            </w:pPr>
            <w:r>
              <w:rPr>
                <w:rFonts w:ascii="仿宋_GB2312" w:hAnsi="仿宋_GB2312" w:cs="仿宋_GB2312" w:eastAsia="仿宋_GB2312"/>
              </w:rPr>
              <w:t>提供售后服务⽅案（包含保修范围、响应时间、维修保障等基本内容）的，得4分；不提供不得分。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安全应急预案</w:t>
            </w:r>
          </w:p>
        </w:tc>
        <w:tc>
          <w:tcPr>
            <w:tcW w:type="dxa" w:w="2492"/>
          </w:tcPr>
          <w:p>
            <w:pPr>
              <w:pStyle w:val="null3"/>
            </w:pPr>
            <w:r>
              <w:rPr>
                <w:rFonts w:ascii="仿宋_GB2312" w:hAnsi="仿宋_GB2312" w:cs="仿宋_GB2312" w:eastAsia="仿宋_GB2312"/>
              </w:rPr>
              <w:t>提供针对本⼯程（涉及沼⽓池、临时⽤电等⻛险）的安全应急预案的，得3分；不提供不得分。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供应商提供2023年1⽉1⽇起⾄今已完成的类似业绩证明材料，每提供1项得2.5分，最多得5分。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详见附件：企业资质要求.pdf</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详见附件：有效的主体资格证明.docx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