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版本号：XACH2026-04520260603001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2026年城市二次供水和农村集中供水工程水质检测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XACH2026-045</w:t>
      </w:r>
      <w:r>
        <w:br/>
      </w:r>
      <w:r>
        <w:br/>
      </w:r>
      <w:r>
        <w:br/>
      </w:r>
    </w:p>
    <w:p>
      <w:pPr>
        <w:pStyle w:val="null3"/>
        <w:jc w:val="center"/>
        <w:outlineLvl w:val="2"/>
      </w:pPr>
      <w:r>
        <w:rPr>
          <w:rFonts w:ascii="仿宋_GB2312" w:hAnsi="仿宋_GB2312" w:cs="仿宋_GB2312" w:eastAsia="仿宋_GB2312"/>
          <w:sz w:val="28"/>
          <w:b/>
        </w:rPr>
        <w:t>西安高新技术产业开发区农业农村和水务局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西安高新技术产业开发区农业农村和水务局</w:t>
      </w:r>
      <w:r>
        <w:rPr>
          <w:rFonts w:ascii="仿宋_GB2312" w:hAnsi="仿宋_GB2312" w:cs="仿宋_GB2312" w:eastAsia="仿宋_GB2312"/>
        </w:rPr>
        <w:t>委托，拟对</w:t>
      </w:r>
      <w:r>
        <w:rPr>
          <w:rFonts w:ascii="仿宋_GB2312" w:hAnsi="仿宋_GB2312" w:cs="仿宋_GB2312" w:eastAsia="仿宋_GB2312"/>
        </w:rPr>
        <w:t>2026年城市二次供水和农村集中供水工程水质检测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XACH2026-045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2026年城市二次供水和农村集中供水工程水质检测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2026年城市二次供水和农村集中供水工程水质检测。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采购包1（2026年城市二次供水和农村集中供水工程水质检测）：属于专门面向中小企业采购。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1、供应商具有独立承担民事责任的能力：供应商应具有独立承担民事责任的能力且具备向采购人提供服务的企业法人、 其他组织或者自然人,企业法人应提供统一社会信用代码的营业执照； 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3、提供中小企业声明函：供应商为中小企业的，应提供《中小企业声明函》；供应商为残疾人福利性单位的，应提供《残疾人福利性单位声明函》；供应商为监狱企业的，应提供《监狱企业证明函》；</w:t>
      </w:r>
    </w:p>
    <w:p>
      <w:pPr>
        <w:pStyle w:val="null3"/>
      </w:pPr>
      <w:r>
        <w:rPr>
          <w:rFonts w:ascii="仿宋_GB2312" w:hAnsi="仿宋_GB2312" w:cs="仿宋_GB2312" w:eastAsia="仿宋_GB2312"/>
        </w:rPr>
        <w:t>4、供应商基本资格条件承诺函：供应商须满足《中华人民共和国政府采购法》第二十二条规定（提供承诺函）；供应商需在项目电子化交易系统中按要求上传相应证明文件并进行电子签章。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5、资质证书：供应商应具有省级及以上质量技术监督部门颁发的有效期内的CMA计量认证证书；</w:t>
      </w:r>
    </w:p>
    <w:p>
      <w:pPr>
        <w:pStyle w:val="null3"/>
      </w:pPr>
      <w:r>
        <w:rPr>
          <w:rFonts w:ascii="仿宋_GB2312" w:hAnsi="仿宋_GB2312" w:cs="仿宋_GB2312" w:eastAsia="仿宋_GB2312"/>
        </w:rPr>
        <w:t>6、非联合体磋商：非联合体磋商声明；供应商需在项目电子化交易系统中按要求上传相应证明文件并进行电子签章。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西安高新技术产业开发区农业农村和水务局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西安高新区丝路创智谷5号楼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王云杰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029-81161740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刘娜娜、商碧红、王文文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西安高新技术产业开发区财政金融局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采购包1：285,900.00元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代理服务费收费标准：由成交人支付代理服务费，本项目收取代理服务费人民币伍仟元整（¥5000.00元）。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西安高新技术产业开发区农业农村和水务局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西安高新技术产业开发区农业农村和水务局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西安高新技术产业开发区农业农村和水务局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达到竞争性磋商文件及国家规定的“合格”标准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联系人：刘娜娜、商碧红</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2026年城市二次供水和农村集中供水工程水质检测。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285,900.00</w:t>
      </w:r>
    </w:p>
    <w:p>
      <w:pPr>
        <w:pStyle w:val="null3"/>
      </w:pPr>
      <w:r>
        <w:rPr>
          <w:rFonts w:ascii="仿宋_GB2312" w:hAnsi="仿宋_GB2312" w:cs="仿宋_GB2312" w:eastAsia="仿宋_GB2312"/>
        </w:rPr>
        <w:t>采购包最高限价（元）: 285,900.00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285900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标的名称：285900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b/>
                <w:color w:val="000000"/>
              </w:rPr>
              <w:t>一、采购内容</w:t>
            </w:r>
          </w:p>
          <w:p>
            <w:pPr>
              <w:pStyle w:val="null3"/>
            </w:pPr>
            <w:r>
              <w:rPr>
                <w:rFonts w:ascii="仿宋_GB2312" w:hAnsi="仿宋_GB2312" w:cs="仿宋_GB2312" w:eastAsia="仿宋_GB2312"/>
                <w:sz w:val="22"/>
                <w:color w:val="000000"/>
              </w:rPr>
              <w:t>1）为保障高新区城乡供水安全，现聘请第三方水质检测公司，根据上述条例文件和最新国标《生活饮用水卫生标准》（GB 5749-2022）要求，在2026年期间对高新区城市二次供水和农村供水进行水质检测。</w:t>
            </w:r>
          </w:p>
          <w:p>
            <w:pPr>
              <w:pStyle w:val="null3"/>
            </w:pPr>
            <w:r>
              <w:rPr>
                <w:rFonts w:ascii="仿宋_GB2312" w:hAnsi="仿宋_GB2312" w:cs="仿宋_GB2312" w:eastAsia="仿宋_GB2312"/>
                <w:sz w:val="22"/>
                <w:color w:val="000000"/>
              </w:rPr>
              <w:t>①抽取高新区10%二次供水运营单位，即50家城市二次供水运行单位，进行常规项目检测；</w:t>
            </w:r>
          </w:p>
          <w:p>
            <w:pPr>
              <w:pStyle w:val="null3"/>
            </w:pPr>
            <w:r>
              <w:rPr>
                <w:rFonts w:ascii="仿宋_GB2312" w:hAnsi="仿宋_GB2312" w:cs="仿宋_GB2312" w:eastAsia="仿宋_GB2312"/>
                <w:sz w:val="22"/>
                <w:color w:val="000000"/>
              </w:rPr>
              <w:t>②对73处农村供水工程在丰、枯水期分别进行常规项目检测；</w:t>
            </w:r>
          </w:p>
          <w:p>
            <w:pPr>
              <w:pStyle w:val="null3"/>
            </w:pPr>
            <w:r>
              <w:rPr>
                <w:rFonts w:ascii="仿宋_GB2312" w:hAnsi="仿宋_GB2312" w:cs="仿宋_GB2312" w:eastAsia="仿宋_GB2312"/>
                <w:sz w:val="22"/>
                <w:color w:val="000000"/>
              </w:rPr>
              <w:t>③临时性、突发性水质监测，预计安排10次；</w:t>
            </w:r>
          </w:p>
          <w:p>
            <w:pPr>
              <w:pStyle w:val="null3"/>
            </w:pPr>
            <w:r>
              <w:rPr>
                <w:rFonts w:ascii="仿宋_GB2312" w:hAnsi="仿宋_GB2312" w:cs="仿宋_GB2312" w:eastAsia="仿宋_GB2312"/>
                <w:sz w:val="22"/>
                <w:color w:val="000000"/>
              </w:rPr>
              <w:t>2）成果文件份数及格式要求以采购人要求为准，但成果文件应包含对成果文本的修改完善记录和最终文本。</w:t>
            </w:r>
          </w:p>
          <w:p>
            <w:pPr>
              <w:pStyle w:val="null3"/>
            </w:pPr>
            <w:r>
              <w:rPr>
                <w:rFonts w:ascii="仿宋_GB2312" w:hAnsi="仿宋_GB2312" w:cs="仿宋_GB2312" w:eastAsia="仿宋_GB2312"/>
                <w:sz w:val="22"/>
                <w:color w:val="000000"/>
              </w:rPr>
              <w:t>3）取样及检测标准要按照国家标准进行测试，要求原始资料齐全，不能漏测，操作程序规范，报告结果准确可靠，按时提交检测结果报告，对检测结果保密，对所作的水质检测报告负法律责任。</w:t>
            </w:r>
          </w:p>
          <w:p>
            <w:pPr>
              <w:pStyle w:val="null3"/>
            </w:pPr>
            <w:r>
              <w:rPr>
                <w:rFonts w:ascii="仿宋_GB2312" w:hAnsi="仿宋_GB2312" w:cs="仿宋_GB2312" w:eastAsia="仿宋_GB2312"/>
                <w:sz w:val="22"/>
                <w:color w:val="000000"/>
              </w:rPr>
              <w:t>4）供应商严格按照相关质量控制规范做好所检样品质量控制工作，保证检验结果准确可靠，所有检测原始资料，包括采样单，实验记录，检测报告等检验资料至少保存五年，方便随时查询。</w:t>
            </w:r>
          </w:p>
          <w:p>
            <w:pPr>
              <w:pStyle w:val="null3"/>
            </w:pPr>
            <w:r>
              <w:rPr>
                <w:rFonts w:ascii="仿宋_GB2312" w:hAnsi="仿宋_GB2312" w:cs="仿宋_GB2312" w:eastAsia="仿宋_GB2312"/>
                <w:sz w:val="22"/>
                <w:b/>
                <w:color w:val="000000"/>
              </w:rPr>
              <w:t>2、服务要求</w:t>
            </w:r>
          </w:p>
          <w:p>
            <w:pPr>
              <w:pStyle w:val="null3"/>
            </w:pPr>
            <w:r>
              <w:rPr>
                <w:rFonts w:ascii="仿宋_GB2312" w:hAnsi="仿宋_GB2312" w:cs="仿宋_GB2312" w:eastAsia="仿宋_GB2312"/>
                <w:sz w:val="22"/>
                <w:color w:val="000000"/>
              </w:rPr>
              <w:t>1）服务期限：</w:t>
            </w:r>
            <w:r>
              <w:rPr>
                <w:rFonts w:ascii="仿宋_GB2312" w:hAnsi="仿宋_GB2312" w:cs="仿宋_GB2312" w:eastAsia="仿宋_GB2312"/>
                <w:sz w:val="22"/>
                <w:color w:val="000000"/>
              </w:rPr>
              <w:t>自合同签订之日起一年</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2）</w:t>
            </w:r>
            <w:r>
              <w:rPr>
                <w:rFonts w:ascii="仿宋_GB2312" w:hAnsi="仿宋_GB2312" w:cs="仿宋_GB2312" w:eastAsia="仿宋_GB2312"/>
                <w:sz w:val="22"/>
                <w:color w:val="000000"/>
                <w:shd w:fill="FFFFFF" w:val="clear"/>
              </w:rPr>
              <w:t>检测需达到</w:t>
            </w:r>
            <w:r>
              <w:rPr>
                <w:rFonts w:ascii="仿宋_GB2312" w:hAnsi="仿宋_GB2312" w:cs="仿宋_GB2312" w:eastAsia="仿宋_GB2312"/>
                <w:sz w:val="22"/>
                <w:color w:val="000000"/>
                <w:shd w:fill="FFFFFF" w:val="clear"/>
              </w:rPr>
              <w:t>《生活饮用水卫生标准》（</w:t>
            </w:r>
            <w:r>
              <w:rPr>
                <w:rFonts w:ascii="仿宋_GB2312" w:hAnsi="仿宋_GB2312" w:cs="仿宋_GB2312" w:eastAsia="仿宋_GB2312"/>
                <w:sz w:val="22"/>
                <w:color w:val="000000"/>
                <w:shd w:fill="FFFFFF" w:val="clear"/>
              </w:rPr>
              <w:t>GB 5749-2022）要求</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b/>
                <w:color w:val="000000"/>
              </w:rPr>
              <w:t>3、</w:t>
            </w:r>
            <w:r>
              <w:rPr>
                <w:rFonts w:ascii="仿宋_GB2312" w:hAnsi="仿宋_GB2312" w:cs="仿宋_GB2312" w:eastAsia="仿宋_GB2312"/>
                <w:sz w:val="22"/>
                <w:b/>
                <w:color w:val="000000"/>
              </w:rPr>
              <w:t>服务</w:t>
            </w:r>
            <w:r>
              <w:rPr>
                <w:rFonts w:ascii="仿宋_GB2312" w:hAnsi="仿宋_GB2312" w:cs="仿宋_GB2312" w:eastAsia="仿宋_GB2312"/>
                <w:sz w:val="22"/>
                <w:b/>
                <w:color w:val="000000"/>
              </w:rPr>
              <w:t>质量标准、期限、效率等要求</w:t>
            </w:r>
          </w:p>
          <w:p>
            <w:pPr>
              <w:pStyle w:val="null3"/>
            </w:pPr>
            <w:r>
              <w:rPr>
                <w:rFonts w:ascii="仿宋_GB2312" w:hAnsi="仿宋_GB2312" w:cs="仿宋_GB2312" w:eastAsia="仿宋_GB2312"/>
                <w:sz w:val="22"/>
                <w:color w:val="000000"/>
              </w:rPr>
              <w:t>1）质量标准：</w:t>
            </w:r>
            <w:r>
              <w:rPr>
                <w:rFonts w:ascii="仿宋_GB2312" w:hAnsi="仿宋_GB2312" w:cs="仿宋_GB2312" w:eastAsia="仿宋_GB2312"/>
                <w:sz w:val="22"/>
                <w:color w:val="000000"/>
              </w:rPr>
              <w:t>达到竞争性磋商文件及国家规定的</w:t>
            </w:r>
            <w:r>
              <w:rPr>
                <w:rFonts w:ascii="仿宋_GB2312" w:hAnsi="仿宋_GB2312" w:cs="仿宋_GB2312" w:eastAsia="仿宋_GB2312"/>
                <w:sz w:val="22"/>
                <w:color w:val="000000"/>
              </w:rPr>
              <w:t>“合格”标准</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2）服务期限：</w:t>
            </w:r>
            <w:r>
              <w:rPr>
                <w:rFonts w:ascii="仿宋_GB2312" w:hAnsi="仿宋_GB2312" w:cs="仿宋_GB2312" w:eastAsia="仿宋_GB2312"/>
                <w:sz w:val="22"/>
                <w:color w:val="000000"/>
              </w:rPr>
              <w:t>自合同签订之日起一年</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3）服务效率：按照采购人要求按时保质保量的完成。</w:t>
            </w:r>
          </w:p>
          <w:p>
            <w:pPr>
              <w:pStyle w:val="null3"/>
            </w:pPr>
            <w:r>
              <w:rPr>
                <w:rFonts w:ascii="仿宋_GB2312" w:hAnsi="仿宋_GB2312" w:cs="仿宋_GB2312" w:eastAsia="仿宋_GB2312"/>
                <w:sz w:val="22"/>
                <w:b/>
                <w:color w:val="000000"/>
              </w:rPr>
              <w:t>4、</w:t>
            </w:r>
            <w:r>
              <w:rPr>
                <w:rFonts w:ascii="仿宋_GB2312" w:hAnsi="仿宋_GB2312" w:cs="仿宋_GB2312" w:eastAsia="仿宋_GB2312"/>
                <w:sz w:val="22"/>
                <w:b/>
                <w:color w:val="000000"/>
              </w:rPr>
              <w:t>检测内容</w:t>
            </w:r>
          </w:p>
          <w:tbl>
            <w:tblPr>
              <w:tblInd w:type="dxa" w:w="210"/>
              <w:tblBorders>
                <w:top w:val="none" w:color="000000" w:sz="4"/>
                <w:left w:val="none" w:color="000000" w:sz="4"/>
                <w:bottom w:val="none" w:color="000000" w:sz="4"/>
                <w:right w:val="none" w:color="000000" w:sz="4"/>
                <w:insideH w:val="none"/>
                <w:insideV w:val="none"/>
              </w:tblBorders>
            </w:tblPr>
            <w:tblGrid>
              <w:gridCol w:w="156"/>
              <w:gridCol w:w="156"/>
              <w:gridCol w:w="1396"/>
              <w:gridCol w:w="260"/>
              <w:gridCol w:w="250"/>
              <w:gridCol w:w="317"/>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序号</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类别</w:t>
                  </w:r>
                </w:p>
              </w:tc>
              <w:tc>
                <w:tcPr>
                  <w:tcW w:type="dxa" w:w="1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检测项目</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频次</w:t>
                  </w:r>
                </w:p>
                <w:p>
                  <w:pPr>
                    <w:pStyle w:val="null3"/>
                    <w:jc w:val="center"/>
                  </w:pPr>
                  <w:r>
                    <w:rPr>
                      <w:rFonts w:ascii="仿宋_GB2312" w:hAnsi="仿宋_GB2312" w:cs="仿宋_GB2312" w:eastAsia="仿宋_GB2312"/>
                      <w:sz w:val="22"/>
                      <w:b/>
                      <w:color w:val="000000"/>
                    </w:rPr>
                    <w:t>（次</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年）</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点位</w:t>
                  </w:r>
                </w:p>
                <w:p>
                  <w:pPr>
                    <w:pStyle w:val="null3"/>
                    <w:jc w:val="center"/>
                  </w:pPr>
                  <w:r>
                    <w:rPr>
                      <w:rFonts w:ascii="仿宋_GB2312" w:hAnsi="仿宋_GB2312" w:cs="仿宋_GB2312" w:eastAsia="仿宋_GB2312"/>
                      <w:sz w:val="22"/>
                      <w:b/>
                      <w:color w:val="000000"/>
                    </w:rPr>
                    <w:t>（个</w:t>
                  </w:r>
                  <w:r>
                    <w:rPr>
                      <w:rFonts w:ascii="仿宋_GB2312" w:hAnsi="仿宋_GB2312" w:cs="仿宋_GB2312" w:eastAsia="仿宋_GB2312"/>
                      <w:sz w:val="22"/>
                      <w:b/>
                      <w:color w:val="000000"/>
                    </w:rPr>
                    <w:t>/家）</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农村供水</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总大肠菌群、大肠埃希氏菌、菌落总数、砷、镉、铬、铅、汞、氰化物、氟化物、硝酸盐、三氯甲烷、一氯二溴甲烷、二氯一溴甲烷、三溴甲烷、三卤甲烷（三氯甲烷、一氯二溴甲烷、二氯一溴甲烷、三溴甲烷总和）、二氯乙酸、三氯乙酸、溴酸盐、亚氯酸盐、氯酸盐、色度、浑浊度、臭和味、肉眼可见物、</w:t>
                  </w:r>
                  <w:r>
                    <w:rPr>
                      <w:rFonts w:ascii="仿宋_GB2312" w:hAnsi="仿宋_GB2312" w:cs="仿宋_GB2312" w:eastAsia="仿宋_GB2312"/>
                      <w:sz w:val="22"/>
                      <w:color w:val="000000"/>
                    </w:rPr>
                    <w:t>pH、铝、铁、锰、铜、锌、氯化物、硫酸盐、溶解性总固体、总硬度、高锰酸盐指数、氨、总α放射性、总β放射性、游离氯、总氯、臭氧、二氧化氯（共43项）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丰水期、枯水期，共</w:t>
                  </w:r>
                  <w:r>
                    <w:rPr>
                      <w:rFonts w:ascii="仿宋_GB2312" w:hAnsi="仿宋_GB2312" w:cs="仿宋_GB2312" w:eastAsia="仿宋_GB2312"/>
                      <w:sz w:val="22"/>
                      <w:color w:val="000000"/>
                    </w:rPr>
                    <w:t>2次</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城市二次供水</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总大肠菌群、大肠埃希氏菌、菌落总数、砷、镉、铬、铅、汞、氰化物、氟化物、硝酸盐、三氯甲烷、一氯二溴甲烷、二氯一溴甲烷、三溴甲烷、三卤甲烷（三氯甲烷、一氯二溴甲烷、二氯一溴甲烷、三溴甲烷总和）、二氯乙酸、三氯乙酸、溴酸盐、亚氯酸盐、氯酸盐、色度、浑浊度、臭和味、肉眼可见物、</w:t>
                  </w:r>
                  <w:r>
                    <w:rPr>
                      <w:rFonts w:ascii="仿宋_GB2312" w:hAnsi="仿宋_GB2312" w:cs="仿宋_GB2312" w:eastAsia="仿宋_GB2312"/>
                      <w:sz w:val="22"/>
                      <w:color w:val="000000"/>
                    </w:rPr>
                    <w:t>pH、铝、铁、锰、铜、锌、氯化物、硫酸盐、溶解性总固体、总硬度、高锰酸盐指数、氨、游离氯（共38项）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共</w:t>
                  </w:r>
                  <w:r>
                    <w:rPr>
                      <w:rFonts w:ascii="仿宋_GB2312" w:hAnsi="仿宋_GB2312" w:cs="仿宋_GB2312" w:eastAsia="仿宋_GB2312"/>
                      <w:sz w:val="22"/>
                      <w:color w:val="000000"/>
                    </w:rPr>
                    <w:t>50家</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应急监测</w:t>
                  </w:r>
                </w:p>
              </w:tc>
              <w:tc>
                <w:tcPr>
                  <w:tcW w:type="dxa" w:w="1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总大肠菌群、大肠埃希氏菌、菌落总数、砷、镉、铬、铅、汞、氰化物、氟化物、硝酸盐、三氯甲烷、一氯二溴甲烷、二氯一溴甲烷、三溴甲烷、三卤甲烷（三氯甲烷、一氯二溴甲烷、二氯一溴甲烷、三溴甲烷总和）、二氯乙酸、三氯乙酸、溴酸盐、亚氯酸盐、氯酸盐、色度、浑浊度、臭和味、肉眼可见物、</w:t>
                  </w:r>
                  <w:r>
                    <w:rPr>
                      <w:rFonts w:ascii="仿宋_GB2312" w:hAnsi="仿宋_GB2312" w:cs="仿宋_GB2312" w:eastAsia="仿宋_GB2312"/>
                      <w:sz w:val="22"/>
                      <w:color w:val="000000"/>
                    </w:rPr>
                    <w:t>pH、铝、铁、锰、铜、锌、氯化物、硫酸盐、溶解性总固体、总硬度、高锰酸盐指数、氨、总α放射性、总β放射性、游离氯、总氯、臭氧、二氧化氯（共43项）</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根据技术参数与性能指标配备相应人数，确保项目顺利实施。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根据技术参数与性能指标配备相应设备，确保项目顺利实施。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（1）符合国家法律法规规定的标准、磋商文件和磋商响应文件所要求的技术标准。 （2）采购人组织供应商（必要时请有关专家）进行验收，验收合格后，填写项目验收单作为对项目的最终认可。 （3）供应商向采购人提供项目实施过程中的所有资料，以便采购人日后管理。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进度款，项目服务完成后，由采购人根据实际检测数量据实结算，达到付款条件起10个工作日内，支付合同总金额的100.0%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违约责任：1、双方在合同生效后，如果任意一方未经协商或不以合同为依据而单方面擅自解除合同，提出解除合同的一方需要支付10000元作为违约金： 若采购人违约，在此过程中供应商所产生的服务费用由采购人承担，并支付违约金给供应商；若供应商违约，则需向采购人退还所有服务费用，并支付违约金给采购人。 2、采购人在供应商技术服务工作完成后单方面终止合同的，应当向供应商支付全额的服务费用。 3、任何一方违反本合同的约定，应承担由此引起的一切经济损失及法律责任（包括但不限于守约方的经济损失、律师费、诉讼费等为实现债权产生的一切费用）。 解决争议：双方本着友好合作的态度,对合同履行过程中发生的纠纷应及时协商解决,协商不成，向采购人所在地人民法院诉讼解决。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磋商报价为完成本项目磋商文件中所提出的工作范围及要求的全部内容，并达到国家及采购人验收标准而产生的所有费用，人工费、管理费、采样费、交通费、样品包装费、运输费、检测费、报告编制费、复检费、技术咨询费、招标代理服务费、保险、利润、税金、风险（保险、处理一切伤亡事故等费用）及完成工作准备阶段、实施阶段、成果交付阶段、验收阶段等所需的全部费用。任何错报、漏报由供应商自行负责。 3.4.2成交人领取成交通知书时须向代理机构提交纸质版响应文件：正本1份、副本2份、电子版（U盘）2份。 3.4.3采购标的对应的中小企业划分标准所属行业：其他未列明行业。根据《工业和信息化部、国家统计局、国家发展和改革委员会、财政部关于印发中小企业划型标准规定的通知》（工信部联企业〔2011〕300号）规定的划分标准，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供应商应具有独立承担民事责任的能力且具备向采购人提供服务的企业法人、 其他组织或者自然人,企业法人应提供统一社会信用代码的营业执照； 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磋商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提供中小企业声明函</w:t>
            </w:r>
          </w:p>
        </w:tc>
        <w:tc>
          <w:tcPr>
            <w:tcW w:type="dxa" w:w="3322"/>
          </w:tcPr>
          <w:p>
            <w:pPr>
              <w:pStyle w:val="null3"/>
            </w:pPr>
            <w:r>
              <w:rPr>
                <w:rFonts w:ascii="仿宋_GB2312" w:hAnsi="仿宋_GB2312" w:cs="仿宋_GB2312" w:eastAsia="仿宋_GB2312"/>
              </w:rPr>
              <w:t>供应商为中小企业的，应提供《中小企业声明函》；供应商为残疾人福利性单位的，应提供《残疾人福利性单位声明函》；供应商为监狱企业的，应提供《监狱企业证明函》；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供应商应具有省级及以上质量技术监督部门颁发的有效期内的CMA计量认证证书；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详见6.4.2评分标准 异常低价审查</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响应文件按照规定格式签字盖章。</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磋商响应有效期达到磋商文件的要求。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供应商针对同一服务未递交两份或多份内容不同的响应文件，未出现选择性报价。</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w:t>
            </w:r>
          </w:p>
        </w:tc>
        <w:tc>
          <w:tcPr>
            <w:tcW w:type="dxa" w:w="3322"/>
          </w:tcPr>
          <w:p>
            <w:pPr>
              <w:pStyle w:val="null3"/>
            </w:pPr>
            <w:r>
              <w:rPr>
                <w:rFonts w:ascii="仿宋_GB2312" w:hAnsi="仿宋_GB2312" w:cs="仿宋_GB2312" w:eastAsia="仿宋_GB2312"/>
              </w:rPr>
              <w:t>符合《中华人民共和国政府采购法》有关规定和磋商纪律。</w:t>
            </w:r>
          </w:p>
        </w:tc>
        <w:tc>
          <w:tcPr>
            <w:tcW w:type="dxa" w:w="1661"/>
          </w:tcPr>
          <w:p>
            <w:pPr>
              <w:pStyle w:val="null3"/>
            </w:pPr>
            <w:r>
              <w:rPr>
                <w:rFonts w:ascii="仿宋_GB2312" w:hAnsi="仿宋_GB2312" w:cs="仿宋_GB2312" w:eastAsia="仿宋_GB2312"/>
              </w:rPr>
              <w:t>报价一览表.docx 中小企业声明函 商务应答表 服务内容及服务要求应答表 承诺书.docx 报价表 资格证明文件.docx 响应文件封面 业绩证明文件及响应方案说明.docx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提供2023年以来类似项目业绩合同（以合同签订时间为准），每份计2分，满分8分。（注：以上证明文件在磋商响应文件中附业绩合同扫描件并加盖公司公章。）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水质检测实施方案</w:t>
            </w:r>
          </w:p>
        </w:tc>
        <w:tc>
          <w:tcPr>
            <w:tcW w:type="dxa" w:w="2492"/>
          </w:tcPr>
          <w:p>
            <w:pPr>
              <w:pStyle w:val="null3"/>
            </w:pPr>
            <w:r>
              <w:rPr>
                <w:rFonts w:ascii="仿宋_GB2312" w:hAnsi="仿宋_GB2312" w:cs="仿宋_GB2312" w:eastAsia="仿宋_GB2312"/>
              </w:rPr>
              <w:t>一、评审内容 针对本项目有具体可行的水质检测实施方案，评审内容点如下：①检测方案概述；②检测范围和服务内容，检测依据；③实施标准；④检测工作方法；⑤样品流转和检测；⑥数据及资料管理方案。 二、评审标准 1、完整性：方案须全面，对评审内容中的各项要求有详细描述； 2、可实施性：切合本项目实际情况，实施步骤清晰、合理； 3、针对性：方案能够紧扣项目实际情况，内容科学合理。 三、赋分标准（满分18分） ①检测方案概述：每完全满足一项评审标准计1分，满分3分。 ②检测范围和服务内容，检测依据：每完全满足一项评审标准计1分，满分3分。 ③实施标准：每完全满足一项评审标准计1分，满分3分。 ④检测工作方法：每完全满足一项评审标准计1分，满分3分。 ⑤样品流转和检测：每完全满足一项评审标准计1分，满分3分。 ⑥数据及资料管理方案：每完全满足一项评审标准计1分，满分3分。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项目团队人员配置方案</w:t>
            </w:r>
          </w:p>
        </w:tc>
        <w:tc>
          <w:tcPr>
            <w:tcW w:type="dxa" w:w="2492"/>
          </w:tcPr>
          <w:p>
            <w:pPr>
              <w:pStyle w:val="null3"/>
            </w:pPr>
            <w:r>
              <w:rPr>
                <w:rFonts w:ascii="仿宋_GB2312" w:hAnsi="仿宋_GB2312" w:cs="仿宋_GB2312" w:eastAsia="仿宋_GB2312"/>
              </w:rPr>
              <w:t>一、评审内容 1、项目团队人员配置方案，评审内容点如下：①项目团队设置方案；②团队人员职能分工及职责划分方案；③人员资料信息（包含但不限于身份证、学历证、资格证）。 二、评审标准 1、完整性：方案须全面，对评审内容中的各项要求有详细描述； 2、可实施性：切合本项目实际情况，实施步骤清晰、合理； 3、针对性：方案能够紧扣项目实际情况，内容科学合理。 三、赋分标准（满分9分） ①项目团队设置方案：每完全满足一项评审标准计1分，满分3分。 ②团队人员职能分工及职责划分方案：每完全满足一项评审标准计1分，满分3分。 ③人员资料信息：每完全满足一项评审标准计1分，满分3分。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进度保证措施，评审内容点如下：①明确各项工作任务完成期限、时间节点；②任务进度跟踪与管控；③任务进度偏差调整预案。 二、评审标准 1、完整性：措施须全面，对评审内容中的各项要求有详细描述； 2、可实施性：切合本项目实际情况，实施步骤清晰、合理； 3、针对性：措施能够紧扣项目实际情况，内容科学合理。 三、赋分标准（满分9分） ①明确各项工作任务完成期限、时间节点：每完全满足一项评审标准计1分，满分3分。 ②任务进度跟踪与管控：每完全满足一项评审标准计1分，满分3分。 ③任务进度偏差调整预案：每完全满足一项评审标准计1分，满分3分。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质量管理制度及保障措施</w:t>
            </w:r>
          </w:p>
        </w:tc>
        <w:tc>
          <w:tcPr>
            <w:tcW w:type="dxa" w:w="2492"/>
          </w:tcPr>
          <w:p>
            <w:pPr>
              <w:pStyle w:val="null3"/>
            </w:pPr>
            <w:r>
              <w:rPr>
                <w:rFonts w:ascii="仿宋_GB2312" w:hAnsi="仿宋_GB2312" w:cs="仿宋_GB2312" w:eastAsia="仿宋_GB2312"/>
              </w:rPr>
              <w:t>一、评审内容 具有针对本项目质量管理制度及保障措施，评审内容点如下：①质量目标及责任制度；②成果报告质量控制要点；③人员能力培训及提升。 二、评审标准 1、完整性：措施须全面，对评审内容中的各项要求有详细描述； 2、可实施性：切合本项目实际情况，实施步骤清晰、合理； 3、针对性：措施能够紧扣项目实际情况，内容科学合理。 三、赋分标准（满分9分） ①质量目标及责任制度：每完全满足一项评审标准计1分，满分3分。 ②成果报告质量控制要点：每完全满足一项评审标准计1分，满分3分。 ③人员能力培训及提升：每完全满足一项评审标准计1分，满分3分。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拟投入本项目的检测仪器设备</w:t>
            </w:r>
          </w:p>
        </w:tc>
        <w:tc>
          <w:tcPr>
            <w:tcW w:type="dxa" w:w="2492"/>
          </w:tcPr>
          <w:p>
            <w:pPr>
              <w:pStyle w:val="null3"/>
            </w:pPr>
            <w:r>
              <w:rPr>
                <w:rFonts w:ascii="仿宋_GB2312" w:hAnsi="仿宋_GB2312" w:cs="仿宋_GB2312" w:eastAsia="仿宋_GB2312"/>
              </w:rPr>
              <w:t>对供应商拟投入本项目的检测仪器设备数量、设备先进性和设备与项目内容配备性进行评审(需提供购置发票、采购合同或租赁合同)，提供10个(含)以上得3分，7个(含)以上得2分，2个（含）以上得1分，2个（不含）以下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保密措施及档案管理制度</w:t>
            </w:r>
          </w:p>
        </w:tc>
        <w:tc>
          <w:tcPr>
            <w:tcW w:type="dxa" w:w="2492"/>
          </w:tcPr>
          <w:p>
            <w:pPr>
              <w:pStyle w:val="null3"/>
            </w:pPr>
            <w:r>
              <w:rPr>
                <w:rFonts w:ascii="仿宋_GB2312" w:hAnsi="仿宋_GB2312" w:cs="仿宋_GB2312" w:eastAsia="仿宋_GB2312"/>
              </w:rPr>
              <w:t>一、评审内容 供应商根据本项目采购需求编制针对性保密措施及档案管理制度，有相应的保障细则，评审内容如下：①保密实施方案；②保密承诺事项及工作规则要求；③档案管理制度。 二、评审标准 1、完整性：措施须全面，对评审内容中的各项要求有详细描述； 2、可实施性：切合本项目实际情况，实施步骤清晰、合理； 3、针对性：措施能够紧扣项目实际情况，内容科学合理。 三、赋分标准（满分9分） ①保密实施方案：每完全满足一项评审标准计1分，满分3分。 ②保密承诺事项及工作规则要求：每完全满足一项评审标准计1分，满分3分。 ③档案管理制度：每完全满足一项评审标准计1分，满分3分。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服务承诺及建议</w:t>
            </w:r>
          </w:p>
        </w:tc>
        <w:tc>
          <w:tcPr>
            <w:tcW w:type="dxa" w:w="2492"/>
          </w:tcPr>
          <w:p>
            <w:pPr>
              <w:pStyle w:val="null3"/>
            </w:pPr>
            <w:r>
              <w:rPr>
                <w:rFonts w:ascii="仿宋_GB2312" w:hAnsi="仿宋_GB2312" w:cs="仿宋_GB2312" w:eastAsia="仿宋_GB2312"/>
              </w:rPr>
              <w:t>一、评审内容 服务承诺评审内容点如下：①承诺完全响应磋商文件和合同条款的要求；②人员配备响应承诺；③服务质量承诺及进度保证；④承诺在合同履行中采购人若提出意见，供应商全力配合整改；⑤合理化建议。 二、评审标准 1、完整性：措施须全面，对评审内容中的各项要求有详细描述； 2、可实施性：切合本项目实际情况，实施步骤清晰、合理； 3、针对性：措施能够紧扣项目实际情况，内容科学合理。 三、赋分标准（满分15分） ①承诺完全响应磋商文件和合同条款的要求：每完全满足一项评审标准计1分，满分3分。 ②人员配备响应承诺：每完全满足一项评审标准计1分，满分3分。 ③服务质量承诺及进度保证：每完全满足一项评审标准计1分，满分3分。 ④承诺在合同履行中采购人若提出意见，供应商全力配合整改：每完全满足一项评审标准计1分，满分3分。 ⑤合理化建议：每完全满足一项评审标准计1分，满分3分。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