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版本号：ZLGL-2026-ZC02120260617001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2026年度1-5号学生公寓、研究生公寓毕业生宿舍粉刷项目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ZLGL-2026-ZC021</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2026年度1-5号学生公寓、研究生公寓毕业生宿舍粉刷项目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ZLGL-2026-ZC021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2026年度1-5号学生公寓、研究生公寓毕业生宿舍粉刷项目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学生房间进行粉刷改造，共分为两个包，1包：1、3号及研究生公寓共220间,公共区域约3000㎡；2包：2、4、5号毕业生公寓共220间，公共区域约3000㎡；详见磋商文件及工程量清单。本项目采取兼投不兼中原则，供应商可以参加其中一个包或多个包的磋商，但只能成为其中一个包的第一成交候选人，剩余包中，只参与评审但不作为成交候选人推荐，评审顺序按照采购包1、采购包2顺序评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采购包1（1、3及研究生公寓粉刷）：属于专门面向中小企业采购。</w:t>
      </w:r>
    </w:p>
    <w:p>
      <w:pPr>
        <w:pStyle w:val="null3"/>
      </w:pPr>
      <w:r>
        <w:rPr>
          <w:rFonts w:ascii="仿宋_GB2312" w:hAnsi="仿宋_GB2312" w:cs="仿宋_GB2312" w:eastAsia="仿宋_GB2312"/>
        </w:rPr>
        <w:t>采购包2（2、4号公寓粉刷）：属于专门面向中小企业采购。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资格证明书或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4、税收缴纳证明：提供截止至开标时间前一年内任意一个月的缴纳凭据:(依法免税的投标人应提供相关文件证明)；</w:t>
      </w:r>
    </w:p>
    <w:p>
      <w:pPr>
        <w:pStyle w:val="null3"/>
      </w:pPr>
      <w:r>
        <w:rPr>
          <w:rFonts w:ascii="仿宋_GB2312" w:hAnsi="仿宋_GB2312" w:cs="仿宋_GB2312" w:eastAsia="仿宋_GB2312"/>
        </w:rPr>
        <w:t>5、社会保障资金缴纳证明：提供截止至开标时间前一年内任意一个月的社保缴纳凭据或社保机构开具的社会保险参保缴纳情况证明;(依法不需要缴纳社会保障资金的投标人应提供相关证明)；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6、承诺书：提供具有履行本合同所必需的设备和专业技术能力的说明及承诺:(提供书面说明及承诺，加盖投标人公章)；</w:t>
      </w:r>
    </w:p>
    <w:p>
      <w:pPr>
        <w:pStyle w:val="null3"/>
      </w:pPr>
      <w:r>
        <w:rPr>
          <w:rFonts w:ascii="仿宋_GB2312" w:hAnsi="仿宋_GB2312" w:cs="仿宋_GB2312" w:eastAsia="仿宋_GB2312"/>
        </w:rPr>
        <w:t>7、书面声明：提供参加政府采购活动前三年内在经营活动中没有重大违法记录的书面声明。(提供书面声明，加盖投标人公章)；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8、资质要求：供应商具备建设行政主管部门颁发的建筑工程施工总承包三级（含）及以上或建筑装修装饰工程专业承包二级（含）及以上资质，且具有有效的安全生产许可证；</w:t>
      </w:r>
    </w:p>
    <w:p>
      <w:pPr>
        <w:pStyle w:val="null3"/>
      </w:pPr>
      <w:r>
        <w:rPr>
          <w:rFonts w:ascii="仿宋_GB2312" w:hAnsi="仿宋_GB2312" w:cs="仿宋_GB2312" w:eastAsia="仿宋_GB2312"/>
        </w:rPr>
        <w:t>9、项目负责人：项目经理须具备建筑工程专业二级（含二级）及以上注册建造师证书和有效的安全生产考核合格证，在本单位注册且无在建工程；</w:t>
      </w:r>
    </w:p>
    <w:p>
      <w:pPr>
        <w:pStyle w:val="null3"/>
      </w:pPr>
      <w:r>
        <w:rPr>
          <w:rFonts w:ascii="仿宋_GB2312" w:hAnsi="仿宋_GB2312" w:cs="仿宋_GB2312" w:eastAsia="仿宋_GB2312"/>
        </w:rPr>
        <w:t>10、信用信息：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11、控股关系：单位负责人为同一人或者存在直接控股、管理关系的不同投标人，不得参加同一合同项下的政府采购活动；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资格证明书或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4、税收缴纳证明：提供截止至开标时间前一年内任意一个月的缴纳凭据:(依法免税的投标人应提供相关文件证明)；</w:t>
      </w:r>
    </w:p>
    <w:p>
      <w:pPr>
        <w:pStyle w:val="null3"/>
      </w:pPr>
      <w:r>
        <w:rPr>
          <w:rFonts w:ascii="仿宋_GB2312" w:hAnsi="仿宋_GB2312" w:cs="仿宋_GB2312" w:eastAsia="仿宋_GB2312"/>
        </w:rPr>
        <w:t>5、社会保障资金缴纳证明：提供截止至开标时间前一年内任意一个月的社保缴纳凭据或社保机构开具的社会保险参保缴纳情况证明;(依法不需要缴纳社会保障资金的投标人应提供相关证明)；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6、承诺书：提供具有履行本合同所必需的设备和专业技术能力的说明及承诺:(提供书面说明及承诺，加盖投标人公章)；</w:t>
      </w:r>
    </w:p>
    <w:p>
      <w:pPr>
        <w:pStyle w:val="null3"/>
      </w:pPr>
      <w:r>
        <w:rPr>
          <w:rFonts w:ascii="仿宋_GB2312" w:hAnsi="仿宋_GB2312" w:cs="仿宋_GB2312" w:eastAsia="仿宋_GB2312"/>
        </w:rPr>
        <w:t>7、书面声明：提供参加政府采购活动前三年内在经营活动中没有重大违法记录的书面声明。(提供书面声明，加盖投标人公章)；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8、资质要求：供应商具备建设行政主管部门颁发的建筑工程施工总承包三级（含）及以上或建筑装修装饰工程专业承包二级（含）及以上资质，且具有有效的安全生产许可证；</w:t>
      </w:r>
    </w:p>
    <w:p>
      <w:pPr>
        <w:pStyle w:val="null3"/>
      </w:pPr>
      <w:r>
        <w:rPr>
          <w:rFonts w:ascii="仿宋_GB2312" w:hAnsi="仿宋_GB2312" w:cs="仿宋_GB2312" w:eastAsia="仿宋_GB2312"/>
        </w:rPr>
        <w:t>9、项目负责人：项目经理须具备建筑工程专业二级（含二级）及以上注册建造师证书和有效的安全生产考核合格证，在本单位注册且无在建工程；</w:t>
      </w:r>
    </w:p>
    <w:p>
      <w:pPr>
        <w:pStyle w:val="null3"/>
      </w:pPr>
      <w:r>
        <w:rPr>
          <w:rFonts w:ascii="仿宋_GB2312" w:hAnsi="仿宋_GB2312" w:cs="仿宋_GB2312" w:eastAsia="仿宋_GB2312"/>
        </w:rPr>
        <w:t>10、信用信息：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11、控股关系：单位负责人为同一人或者存在直接控股、管理关系的不同投标人，不得参加同一合同项下的政府采购活动；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12、联合体：本项目不接受联合体投标。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029-87545418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曹天天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029-87543079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采购包1：403,663.45元</w:t>
            </w:r>
          </w:p>
          <w:p>
            <w:pPr>
              <w:pStyle w:val="null3"/>
            </w:pPr>
            <w:r>
              <w:rPr>
                <w:rFonts w:ascii="仿宋_GB2312" w:hAnsi="仿宋_GB2312" w:cs="仿宋_GB2312" w:eastAsia="仿宋_GB2312"/>
              </w:rPr>
              <w:t>采购包2：441,280.00元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采购代理服务费的金额参照原《国家计委关于印发招标代理服务收费管理暂行办法的通知》（计价格【2002】1980号）和国家发改委办公厅颁发的《关于招标代理服务收费有关问题的通知》（发改办价格【2003】857号）文件计取。各标段招标代理服务费计算结果不足伍仟元，按伍仟元计费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15:00:00</w:t>
            </w:r>
          </w:p>
          <w:p>
            <w:pPr>
              <w:pStyle w:val="null3"/>
              <w:ind w:firstLine="975"/>
            </w:pPr>
            <w:r>
              <w:rPr>
                <w:rFonts w:ascii="仿宋_GB2312" w:hAnsi="仿宋_GB2312" w:cs="仿宋_GB2312" w:eastAsia="仿宋_GB2312"/>
              </w:rPr>
              <w:t>踏勘地点：西安美术学院东门</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联系电话号码：13020759580/13689194744</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踏勘时间：2026-06-26 15:00:00</w:t>
            </w:r>
          </w:p>
          <w:p>
            <w:pPr>
              <w:pStyle w:val="null3"/>
              <w:ind w:firstLine="975"/>
            </w:pPr>
            <w:r>
              <w:rPr>
                <w:rFonts w:ascii="仿宋_GB2312" w:hAnsi="仿宋_GB2312" w:cs="仿宋_GB2312" w:eastAsia="仿宋_GB2312"/>
              </w:rPr>
              <w:t>踏勘地点：西安美术学院东门</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联系电话号码：13020759580/13689194744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联系人：曹天天</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403,663.45</w:t>
      </w:r>
    </w:p>
    <w:p>
      <w:pPr>
        <w:pStyle w:val="null3"/>
      </w:pPr>
      <w:r>
        <w:rPr>
          <w:rFonts w:ascii="仿宋_GB2312" w:hAnsi="仿宋_GB2312" w:cs="仿宋_GB2312" w:eastAsia="仿宋_GB2312"/>
        </w:rPr>
        <w:t>采购包最高限价（元）: 403,663.45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1、3及研究生公寓粉刷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403,663.45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441,280.00</w:t>
      </w:r>
    </w:p>
    <w:p>
      <w:pPr>
        <w:pStyle w:val="null3"/>
      </w:pPr>
      <w:r>
        <w:rPr>
          <w:rFonts w:ascii="仿宋_GB2312" w:hAnsi="仿宋_GB2312" w:cs="仿宋_GB2312" w:eastAsia="仿宋_GB2312"/>
        </w:rPr>
        <w:t>采购包最高限价（元）: 441,280.00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2、4号公寓粉刷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441,280.00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标的名称：1、3及研究生公寓粉刷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1"/>
                <w:b/>
              </w:rPr>
              <w:t>一、项目范围</w:t>
            </w:r>
          </w:p>
          <w:p>
            <w:pPr>
              <w:pStyle w:val="null3"/>
              <w:ind w:firstLine="199"/>
              <w:jc w:val="both"/>
            </w:pPr>
            <w:r>
              <w:rPr>
                <w:rFonts w:ascii="仿宋_GB2312" w:hAnsi="仿宋_GB2312" w:cs="仿宋_GB2312" w:eastAsia="仿宋_GB2312"/>
                <w:sz w:val="21"/>
              </w:rPr>
              <w:t>1包：</w:t>
            </w:r>
            <w:r>
              <w:rPr>
                <w:rFonts w:ascii="仿宋_GB2312" w:hAnsi="仿宋_GB2312" w:cs="仿宋_GB2312" w:eastAsia="仿宋_GB2312"/>
                <w:sz w:val="21"/>
              </w:rPr>
              <w:t>1、</w:t>
            </w:r>
            <w:r>
              <w:rPr>
                <w:rFonts w:ascii="仿宋_GB2312" w:hAnsi="仿宋_GB2312" w:cs="仿宋_GB2312" w:eastAsia="仿宋_GB2312"/>
                <w:sz w:val="21"/>
              </w:rPr>
              <w:t>3号及</w:t>
            </w:r>
            <w:r>
              <w:rPr>
                <w:rFonts w:ascii="仿宋_GB2312" w:hAnsi="仿宋_GB2312" w:cs="仿宋_GB2312" w:eastAsia="仿宋_GB2312"/>
                <w:sz w:val="21"/>
              </w:rPr>
              <w:t>研究生公寓共</w:t>
            </w:r>
            <w:r>
              <w:rPr>
                <w:rFonts w:ascii="仿宋_GB2312" w:hAnsi="仿宋_GB2312" w:cs="仿宋_GB2312" w:eastAsia="仿宋_GB2312"/>
                <w:sz w:val="21"/>
              </w:rPr>
              <w:t>220</w:t>
            </w:r>
            <w:r>
              <w:rPr>
                <w:rFonts w:ascii="仿宋_GB2312" w:hAnsi="仿宋_GB2312" w:cs="仿宋_GB2312" w:eastAsia="仿宋_GB2312"/>
                <w:sz w:val="21"/>
              </w:rPr>
              <w:t>间</w:t>
            </w:r>
            <w:r>
              <w:rPr>
                <w:rFonts w:ascii="仿宋_GB2312" w:hAnsi="仿宋_GB2312" w:cs="仿宋_GB2312" w:eastAsia="仿宋_GB2312"/>
                <w:sz w:val="21"/>
              </w:rPr>
              <w:t>,公共区域</w:t>
            </w:r>
            <w:r>
              <w:rPr>
                <w:rFonts w:ascii="仿宋_GB2312" w:hAnsi="仿宋_GB2312" w:cs="仿宋_GB2312" w:eastAsia="仿宋_GB2312"/>
                <w:sz w:val="21"/>
              </w:rPr>
              <w:t>约</w:t>
            </w:r>
            <w:r>
              <w:rPr>
                <w:rFonts w:ascii="仿宋_GB2312" w:hAnsi="仿宋_GB2312" w:cs="仿宋_GB2312" w:eastAsia="仿宋_GB2312"/>
                <w:sz w:val="21"/>
              </w:rPr>
              <w:t>3000</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b/>
              </w:rPr>
              <w:t>二、要求及说明</w:t>
            </w:r>
          </w:p>
          <w:p>
            <w:pPr>
              <w:pStyle w:val="null3"/>
              <w:ind w:firstLine="199"/>
              <w:jc w:val="both"/>
            </w:pPr>
            <w:r>
              <w:rPr>
                <w:rFonts w:ascii="仿宋_GB2312" w:hAnsi="仿宋_GB2312" w:cs="仿宋_GB2312" w:eastAsia="仿宋_GB2312"/>
                <w:sz w:val="21"/>
              </w:rPr>
              <w:t>1、工程要求</w:t>
            </w:r>
          </w:p>
          <w:p>
            <w:pPr>
              <w:pStyle w:val="null3"/>
              <w:ind w:firstLine="200"/>
              <w:jc w:val="both"/>
            </w:pPr>
            <w:r>
              <w:rPr>
                <w:rFonts w:ascii="仿宋_GB2312" w:hAnsi="仿宋_GB2312" w:cs="仿宋_GB2312" w:eastAsia="仿宋_GB2312"/>
                <w:sz w:val="21"/>
                <w:b/>
              </w:rPr>
              <w:t>粉刷部分：</w:t>
            </w:r>
            <w:r>
              <w:rPr>
                <w:rFonts w:ascii="仿宋_GB2312" w:hAnsi="仿宋_GB2312" w:cs="仿宋_GB2312" w:eastAsia="仿宋_GB2312"/>
                <w:sz w:val="21"/>
              </w:rPr>
              <w:t xml:space="preserve"> </w:t>
            </w:r>
          </w:p>
          <w:p>
            <w:pPr>
              <w:pStyle w:val="null3"/>
              <w:ind w:firstLine="199"/>
              <w:jc w:val="both"/>
            </w:pPr>
            <w:r>
              <w:rPr>
                <w:rFonts w:ascii="仿宋_GB2312" w:hAnsi="仿宋_GB2312" w:cs="仿宋_GB2312" w:eastAsia="仿宋_GB2312"/>
                <w:sz w:val="21"/>
              </w:rPr>
              <w:t>①</w:t>
            </w:r>
            <w:r>
              <w:rPr>
                <w:rFonts w:ascii="仿宋_GB2312" w:hAnsi="仿宋_GB2312" w:cs="仿宋_GB2312" w:eastAsia="仿宋_GB2312"/>
                <w:sz w:val="21"/>
              </w:rPr>
              <w:t>对工程范围内的原粉刷部分砂纸整体打磨，刷两遍漆。宿舍内部因水泡起皮发霉的墙面进行铲除，刮两遍腻子刷两遍漆；</w:t>
            </w:r>
          </w:p>
          <w:p>
            <w:pPr>
              <w:pStyle w:val="null3"/>
              <w:ind w:firstLine="199"/>
              <w:jc w:val="both"/>
            </w:pPr>
            <w:r>
              <w:rPr>
                <w:rFonts w:ascii="仿宋_GB2312" w:hAnsi="仿宋_GB2312" w:cs="仿宋_GB2312" w:eastAsia="仿宋_GB2312"/>
                <w:sz w:val="21"/>
              </w:rPr>
              <w:t xml:space="preserve">② </w:t>
            </w:r>
            <w:r>
              <w:rPr>
                <w:rFonts w:ascii="仿宋_GB2312" w:hAnsi="仿宋_GB2312" w:cs="仿宋_GB2312" w:eastAsia="仿宋_GB2312"/>
                <w:sz w:val="21"/>
              </w:rPr>
              <w:t>主材选用主流品牌</w:t>
            </w:r>
            <w:r>
              <w:rPr>
                <w:rFonts w:ascii="仿宋_GB2312" w:hAnsi="仿宋_GB2312" w:cs="仿宋_GB2312" w:eastAsia="仿宋_GB2312"/>
                <w:sz w:val="21"/>
              </w:rPr>
              <w:t>（立邦、多乐士、三棵树等同级别品牌）绿色环保</w:t>
            </w:r>
            <w:r>
              <w:rPr>
                <w:rFonts w:ascii="仿宋_GB2312" w:hAnsi="仿宋_GB2312" w:cs="仿宋_GB2312" w:eastAsia="仿宋_GB2312"/>
                <w:sz w:val="21"/>
              </w:rPr>
              <w:t>乳胶漆。</w:t>
            </w:r>
          </w:p>
          <w:p>
            <w:pPr>
              <w:pStyle w:val="null3"/>
              <w:ind w:firstLine="200"/>
              <w:jc w:val="both"/>
            </w:pPr>
            <w:r>
              <w:rPr>
                <w:rFonts w:ascii="仿宋_GB2312" w:hAnsi="仿宋_GB2312" w:cs="仿宋_GB2312" w:eastAsia="仿宋_GB2312"/>
                <w:sz w:val="21"/>
                <w:b/>
              </w:rPr>
              <w:t>加装电源插座：</w:t>
            </w:r>
          </w:p>
          <w:p>
            <w:pPr>
              <w:pStyle w:val="null3"/>
              <w:ind w:firstLine="199"/>
              <w:jc w:val="both"/>
            </w:pPr>
            <w:r>
              <w:rPr>
                <w:rFonts w:ascii="仿宋_GB2312" w:hAnsi="仿宋_GB2312" w:cs="仿宋_GB2312" w:eastAsia="仿宋_GB2312"/>
                <w:sz w:val="21"/>
              </w:rPr>
              <w:t>①宿舍内墙面开槽穿管敷设电源线；</w:t>
            </w:r>
          </w:p>
          <w:p>
            <w:pPr>
              <w:pStyle w:val="null3"/>
              <w:ind w:firstLine="199"/>
              <w:jc w:val="both"/>
            </w:pPr>
            <w:r>
              <w:rPr>
                <w:rFonts w:ascii="仿宋_GB2312" w:hAnsi="仿宋_GB2312" w:cs="仿宋_GB2312" w:eastAsia="仿宋_GB2312"/>
                <w:sz w:val="21"/>
              </w:rPr>
              <w:t>②安装暗装插座，更换白板；</w:t>
            </w:r>
          </w:p>
          <w:p>
            <w:pPr>
              <w:pStyle w:val="null3"/>
              <w:ind w:firstLine="199"/>
              <w:jc w:val="both"/>
            </w:pP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主材选用主流品牌（公牛、施耐德、德力西</w:t>
            </w:r>
            <w:r>
              <w:rPr>
                <w:rFonts w:ascii="仿宋_GB2312" w:hAnsi="仿宋_GB2312" w:cs="仿宋_GB2312" w:eastAsia="仿宋_GB2312"/>
                <w:sz w:val="21"/>
              </w:rPr>
              <w:t>等同级别品牌</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b/>
              </w:rPr>
              <w:t>油漆部分：</w:t>
            </w:r>
          </w:p>
          <w:p>
            <w:pPr>
              <w:pStyle w:val="null3"/>
              <w:ind w:firstLine="199"/>
              <w:jc w:val="both"/>
            </w:pP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铲除修补起皮空鼓部分；</w:t>
            </w:r>
          </w:p>
          <w:p>
            <w:pPr>
              <w:pStyle w:val="null3"/>
              <w:ind w:firstLine="199"/>
              <w:jc w:val="both"/>
            </w:pP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基层处理，整体</w:t>
            </w:r>
            <w:r>
              <w:rPr>
                <w:rFonts w:ascii="仿宋_GB2312" w:hAnsi="仿宋_GB2312" w:cs="仿宋_GB2312" w:eastAsia="仿宋_GB2312"/>
                <w:sz w:val="21"/>
              </w:rPr>
              <w:t>打磨平整，刷两遍漆</w:t>
            </w:r>
            <w:r>
              <w:rPr>
                <w:rFonts w:ascii="仿宋_GB2312" w:hAnsi="仿宋_GB2312" w:cs="仿宋_GB2312" w:eastAsia="仿宋_GB2312"/>
                <w:sz w:val="21"/>
              </w:rPr>
              <w:t>；</w:t>
            </w:r>
          </w:p>
          <w:p>
            <w:pPr>
              <w:pStyle w:val="null3"/>
              <w:ind w:firstLine="199"/>
              <w:jc w:val="both"/>
            </w:pP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主材为主流品牌</w:t>
            </w:r>
            <w:r>
              <w:rPr>
                <w:rFonts w:ascii="仿宋_GB2312" w:hAnsi="仿宋_GB2312" w:cs="仿宋_GB2312" w:eastAsia="仿宋_GB2312"/>
                <w:sz w:val="21"/>
              </w:rPr>
              <w:t>（宝塔山、经建、星邦等同级别品牌）</w:t>
            </w:r>
            <w:r>
              <w:rPr>
                <w:rFonts w:ascii="仿宋_GB2312" w:hAnsi="仿宋_GB2312" w:cs="仿宋_GB2312" w:eastAsia="仿宋_GB2312"/>
                <w:sz w:val="21"/>
              </w:rPr>
              <w:t>醇酸磁漆。</w:t>
            </w:r>
          </w:p>
          <w:p>
            <w:pPr>
              <w:pStyle w:val="null3"/>
              <w:ind w:firstLine="199"/>
              <w:jc w:val="both"/>
            </w:pPr>
            <w:r>
              <w:rPr>
                <w:rFonts w:ascii="仿宋_GB2312" w:hAnsi="仿宋_GB2312" w:cs="仿宋_GB2312" w:eastAsia="仿宋_GB2312"/>
                <w:sz w:val="21"/>
              </w:rPr>
              <w:t>施工中床、家具等</w:t>
            </w:r>
            <w:r>
              <w:rPr>
                <w:rFonts w:ascii="仿宋_GB2312" w:hAnsi="仿宋_GB2312" w:cs="仿宋_GB2312" w:eastAsia="仿宋_GB2312"/>
                <w:sz w:val="21"/>
              </w:rPr>
              <w:t>物品</w:t>
            </w:r>
            <w:r>
              <w:rPr>
                <w:rFonts w:ascii="仿宋_GB2312" w:hAnsi="仿宋_GB2312" w:cs="仿宋_GB2312" w:eastAsia="仿宋_GB2312"/>
                <w:sz w:val="21"/>
              </w:rPr>
              <w:t>的搬移，空调、电扇、门窗等污染保护，现场卫生清理等费用一并综合考虑。</w:t>
            </w:r>
          </w:p>
          <w:p>
            <w:pPr>
              <w:pStyle w:val="null3"/>
              <w:ind w:firstLine="200"/>
              <w:jc w:val="both"/>
            </w:pPr>
            <w:r>
              <w:rPr>
                <w:rFonts w:ascii="仿宋_GB2312" w:hAnsi="仿宋_GB2312" w:cs="仿宋_GB2312" w:eastAsia="仿宋_GB2312"/>
                <w:sz w:val="21"/>
                <w:b/>
              </w:rPr>
              <w:t>清洗部分：</w:t>
            </w:r>
          </w:p>
          <w:p>
            <w:pPr>
              <w:pStyle w:val="null3"/>
              <w:ind w:firstLine="199"/>
              <w:jc w:val="both"/>
            </w:pPr>
            <w:r>
              <w:rPr>
                <w:rFonts w:ascii="仿宋_GB2312" w:hAnsi="仿宋_GB2312" w:cs="仿宋_GB2312" w:eastAsia="仿宋_GB2312"/>
                <w:sz w:val="21"/>
              </w:rPr>
              <w:t>对各宿舍卫生间瓷砖墙面、蹲便、面盆进行专业</w:t>
            </w:r>
            <w:r>
              <w:rPr>
                <w:rFonts w:ascii="仿宋_GB2312" w:hAnsi="仿宋_GB2312" w:cs="仿宋_GB2312" w:eastAsia="仿宋_GB2312"/>
                <w:sz w:val="21"/>
              </w:rPr>
              <w:t>深度</w:t>
            </w:r>
            <w:r>
              <w:rPr>
                <w:rFonts w:ascii="仿宋_GB2312" w:hAnsi="仿宋_GB2312" w:cs="仿宋_GB2312" w:eastAsia="仿宋_GB2312"/>
                <w:sz w:val="21"/>
              </w:rPr>
              <w:t>清洁。</w:t>
            </w:r>
            <w:r>
              <w:rPr>
                <w:rFonts w:ascii="仿宋_GB2312" w:hAnsi="仿宋_GB2312" w:cs="仿宋_GB2312" w:eastAsia="仿宋_GB2312"/>
                <w:sz w:val="21"/>
              </w:rPr>
              <w:t xml:space="preserve">                               </w:t>
            </w:r>
          </w:p>
          <w:p>
            <w:pPr>
              <w:pStyle w:val="null3"/>
              <w:ind w:firstLine="199"/>
              <w:jc w:val="both"/>
            </w:pPr>
            <w:r>
              <w:rPr>
                <w:rFonts w:ascii="仿宋_GB2312" w:hAnsi="仿宋_GB2312" w:cs="仿宋_GB2312" w:eastAsia="仿宋_GB2312"/>
                <w:sz w:val="21"/>
              </w:rPr>
              <w:t>2、工期及卫生</w:t>
            </w:r>
          </w:p>
          <w:p>
            <w:pPr>
              <w:pStyle w:val="null3"/>
              <w:ind w:firstLine="199"/>
              <w:jc w:val="both"/>
            </w:pPr>
            <w:r>
              <w:rPr>
                <w:rFonts w:ascii="仿宋_GB2312" w:hAnsi="仿宋_GB2312" w:cs="仿宋_GB2312" w:eastAsia="仿宋_GB2312"/>
                <w:sz w:val="21"/>
              </w:rPr>
              <w:t>为了保证新生正常入住公寓，为新生营造一个干净整洁的住宿环境，暑假期间对空出宿舍进行粉刷油漆，工程务必于</w:t>
            </w:r>
            <w:r>
              <w:rPr>
                <w:rFonts w:ascii="仿宋_GB2312" w:hAnsi="仿宋_GB2312" w:cs="仿宋_GB2312" w:eastAsia="仿宋_GB2312"/>
                <w:sz w:val="21"/>
              </w:rPr>
              <w:t>8月</w:t>
            </w:r>
            <w:r>
              <w:rPr>
                <w:rFonts w:ascii="仿宋_GB2312" w:hAnsi="仿宋_GB2312" w:cs="仿宋_GB2312" w:eastAsia="仿宋_GB2312"/>
                <w:sz w:val="21"/>
              </w:rPr>
              <w:t>20</w:t>
            </w:r>
            <w:r>
              <w:rPr>
                <w:rFonts w:ascii="仿宋_GB2312" w:hAnsi="仿宋_GB2312" w:cs="仿宋_GB2312" w:eastAsia="仿宋_GB2312"/>
                <w:sz w:val="21"/>
              </w:rPr>
              <w:t>日前完工，工程质量达到方案要求。</w:t>
            </w:r>
          </w:p>
          <w:p>
            <w:pPr>
              <w:pStyle w:val="null3"/>
              <w:ind w:firstLine="199"/>
              <w:jc w:val="both"/>
            </w:pPr>
            <w:r>
              <w:rPr>
                <w:rFonts w:ascii="仿宋_GB2312" w:hAnsi="仿宋_GB2312" w:cs="仿宋_GB2312" w:eastAsia="仿宋_GB2312"/>
                <w:sz w:val="21"/>
              </w:rPr>
              <w:t>卫生要求达到新生入住标准，保证新生入住时干净整洁，具体是：窗门框、玻璃、门锁、灯、风扇、桌、凳、床、柜、开关插座、地面、面盆、马桶等清理干净，乳胶漆滴痕，床柜等宿舍设施按要求摆放到位。</w:t>
            </w:r>
          </w:p>
          <w:p>
            <w:pPr>
              <w:pStyle w:val="null3"/>
              <w:ind w:firstLine="199"/>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标的名称：2、4号公寓粉刷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1"/>
                <w:b/>
              </w:rPr>
              <w:t>一、项目范围</w:t>
            </w:r>
          </w:p>
          <w:p>
            <w:pPr>
              <w:pStyle w:val="null3"/>
              <w:ind w:firstLine="199"/>
              <w:jc w:val="both"/>
            </w:pPr>
            <w:r>
              <w:rPr>
                <w:rFonts w:ascii="仿宋_GB2312" w:hAnsi="仿宋_GB2312" w:cs="仿宋_GB2312" w:eastAsia="仿宋_GB2312"/>
                <w:sz w:val="21"/>
              </w:rPr>
              <w:t>2包：</w:t>
            </w:r>
            <w:r>
              <w:rPr>
                <w:rFonts w:ascii="仿宋_GB2312" w:hAnsi="仿宋_GB2312" w:cs="仿宋_GB2312" w:eastAsia="仿宋_GB2312"/>
                <w:sz w:val="21"/>
              </w:rPr>
              <w:t>2、4、5</w:t>
            </w:r>
            <w:r>
              <w:rPr>
                <w:rFonts w:ascii="仿宋_GB2312" w:hAnsi="仿宋_GB2312" w:cs="仿宋_GB2312" w:eastAsia="仿宋_GB2312"/>
                <w:sz w:val="21"/>
              </w:rPr>
              <w:t>号毕业生公寓共</w:t>
            </w:r>
            <w:r>
              <w:rPr>
                <w:rFonts w:ascii="仿宋_GB2312" w:hAnsi="仿宋_GB2312" w:cs="仿宋_GB2312" w:eastAsia="仿宋_GB2312"/>
                <w:sz w:val="21"/>
              </w:rPr>
              <w:t>220</w:t>
            </w:r>
            <w:r>
              <w:rPr>
                <w:rFonts w:ascii="仿宋_GB2312" w:hAnsi="仿宋_GB2312" w:cs="仿宋_GB2312" w:eastAsia="仿宋_GB2312"/>
                <w:sz w:val="21"/>
              </w:rPr>
              <w:t>间，公共区域约</w:t>
            </w:r>
            <w:r>
              <w:rPr>
                <w:rFonts w:ascii="仿宋_GB2312" w:hAnsi="仿宋_GB2312" w:cs="仿宋_GB2312" w:eastAsia="仿宋_GB2312"/>
                <w:sz w:val="21"/>
              </w:rPr>
              <w:t>3000</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b/>
              </w:rPr>
              <w:t>二、要求及说明</w:t>
            </w:r>
          </w:p>
          <w:p>
            <w:pPr>
              <w:pStyle w:val="null3"/>
              <w:ind w:firstLine="199"/>
              <w:jc w:val="both"/>
            </w:pPr>
            <w:r>
              <w:rPr>
                <w:rFonts w:ascii="仿宋_GB2312" w:hAnsi="仿宋_GB2312" w:cs="仿宋_GB2312" w:eastAsia="仿宋_GB2312"/>
                <w:sz w:val="21"/>
              </w:rPr>
              <w:t>1、工程要求</w:t>
            </w:r>
          </w:p>
          <w:p>
            <w:pPr>
              <w:pStyle w:val="null3"/>
              <w:ind w:firstLine="200"/>
              <w:jc w:val="both"/>
            </w:pPr>
            <w:r>
              <w:rPr>
                <w:rFonts w:ascii="仿宋_GB2312" w:hAnsi="仿宋_GB2312" w:cs="仿宋_GB2312" w:eastAsia="仿宋_GB2312"/>
                <w:sz w:val="21"/>
                <w:b/>
              </w:rPr>
              <w:t>粉刷部分：</w:t>
            </w:r>
            <w:r>
              <w:rPr>
                <w:rFonts w:ascii="仿宋_GB2312" w:hAnsi="仿宋_GB2312" w:cs="仿宋_GB2312" w:eastAsia="仿宋_GB2312"/>
                <w:sz w:val="21"/>
              </w:rPr>
              <w:t xml:space="preserve"> </w:t>
            </w:r>
          </w:p>
          <w:p>
            <w:pPr>
              <w:pStyle w:val="null3"/>
              <w:ind w:firstLine="199"/>
              <w:jc w:val="both"/>
            </w:pPr>
            <w:r>
              <w:rPr>
                <w:rFonts w:ascii="仿宋_GB2312" w:hAnsi="仿宋_GB2312" w:cs="仿宋_GB2312" w:eastAsia="仿宋_GB2312"/>
                <w:sz w:val="21"/>
              </w:rPr>
              <w:t>①</w:t>
            </w:r>
            <w:r>
              <w:rPr>
                <w:rFonts w:ascii="仿宋_GB2312" w:hAnsi="仿宋_GB2312" w:cs="仿宋_GB2312" w:eastAsia="仿宋_GB2312"/>
                <w:sz w:val="21"/>
              </w:rPr>
              <w:t>对工程范围内的原粉刷部分砂纸整体打磨，刷两遍漆。宿舍内部因水泡起皮发霉的墙面进行铲除，刮两遍腻子刷两遍漆；</w:t>
            </w:r>
          </w:p>
          <w:p>
            <w:pPr>
              <w:pStyle w:val="null3"/>
              <w:ind w:firstLine="199"/>
              <w:jc w:val="both"/>
            </w:pPr>
            <w:r>
              <w:rPr>
                <w:rFonts w:ascii="仿宋_GB2312" w:hAnsi="仿宋_GB2312" w:cs="仿宋_GB2312" w:eastAsia="仿宋_GB2312"/>
                <w:sz w:val="21"/>
              </w:rPr>
              <w:t xml:space="preserve">② </w:t>
            </w:r>
            <w:r>
              <w:rPr>
                <w:rFonts w:ascii="仿宋_GB2312" w:hAnsi="仿宋_GB2312" w:cs="仿宋_GB2312" w:eastAsia="仿宋_GB2312"/>
                <w:sz w:val="21"/>
              </w:rPr>
              <w:t>主材选用主流品牌</w:t>
            </w:r>
            <w:r>
              <w:rPr>
                <w:rFonts w:ascii="仿宋_GB2312" w:hAnsi="仿宋_GB2312" w:cs="仿宋_GB2312" w:eastAsia="仿宋_GB2312"/>
                <w:sz w:val="21"/>
              </w:rPr>
              <w:t>（立邦、多乐士、三棵树等同级别品牌）绿色环保</w:t>
            </w:r>
            <w:r>
              <w:rPr>
                <w:rFonts w:ascii="仿宋_GB2312" w:hAnsi="仿宋_GB2312" w:cs="仿宋_GB2312" w:eastAsia="仿宋_GB2312"/>
                <w:sz w:val="21"/>
              </w:rPr>
              <w:t>乳胶漆。</w:t>
            </w:r>
          </w:p>
          <w:p>
            <w:pPr>
              <w:pStyle w:val="null3"/>
              <w:ind w:firstLine="200"/>
              <w:jc w:val="both"/>
            </w:pPr>
            <w:r>
              <w:rPr>
                <w:rFonts w:ascii="仿宋_GB2312" w:hAnsi="仿宋_GB2312" w:cs="仿宋_GB2312" w:eastAsia="仿宋_GB2312"/>
                <w:sz w:val="21"/>
                <w:b/>
              </w:rPr>
              <w:t>加装电源插座：</w:t>
            </w:r>
          </w:p>
          <w:p>
            <w:pPr>
              <w:pStyle w:val="null3"/>
              <w:ind w:firstLine="199"/>
              <w:jc w:val="both"/>
            </w:pPr>
            <w:r>
              <w:rPr>
                <w:rFonts w:ascii="仿宋_GB2312" w:hAnsi="仿宋_GB2312" w:cs="仿宋_GB2312" w:eastAsia="仿宋_GB2312"/>
                <w:sz w:val="21"/>
              </w:rPr>
              <w:t>①宿舍内墙面开槽穿管敷设电源线；</w:t>
            </w:r>
          </w:p>
          <w:p>
            <w:pPr>
              <w:pStyle w:val="null3"/>
              <w:ind w:firstLine="199"/>
              <w:jc w:val="both"/>
            </w:pPr>
            <w:r>
              <w:rPr>
                <w:rFonts w:ascii="仿宋_GB2312" w:hAnsi="仿宋_GB2312" w:cs="仿宋_GB2312" w:eastAsia="仿宋_GB2312"/>
                <w:sz w:val="21"/>
              </w:rPr>
              <w:t>②安装暗装插座，更换白板；</w:t>
            </w:r>
          </w:p>
          <w:p>
            <w:pPr>
              <w:pStyle w:val="null3"/>
              <w:ind w:firstLine="199"/>
              <w:jc w:val="both"/>
            </w:pP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主材选用主流品牌（公牛、施耐德、德力西</w:t>
            </w:r>
            <w:r>
              <w:rPr>
                <w:rFonts w:ascii="仿宋_GB2312" w:hAnsi="仿宋_GB2312" w:cs="仿宋_GB2312" w:eastAsia="仿宋_GB2312"/>
                <w:sz w:val="21"/>
              </w:rPr>
              <w:t>等同级别品牌</w:t>
            </w:r>
            <w:r>
              <w:rPr>
                <w:rFonts w:ascii="仿宋_GB2312" w:hAnsi="仿宋_GB2312" w:cs="仿宋_GB2312" w:eastAsia="仿宋_GB2312"/>
                <w:sz w:val="21"/>
              </w:rPr>
              <w:t>）；</w:t>
            </w:r>
          </w:p>
          <w:p>
            <w:pPr>
              <w:pStyle w:val="null3"/>
              <w:ind w:firstLine="200"/>
              <w:jc w:val="both"/>
            </w:pPr>
            <w:r>
              <w:rPr>
                <w:rFonts w:ascii="仿宋_GB2312" w:hAnsi="仿宋_GB2312" w:cs="仿宋_GB2312" w:eastAsia="仿宋_GB2312"/>
                <w:sz w:val="21"/>
                <w:b/>
              </w:rPr>
              <w:t>油漆部分：</w:t>
            </w:r>
          </w:p>
          <w:p>
            <w:pPr>
              <w:pStyle w:val="null3"/>
              <w:ind w:firstLine="199"/>
              <w:jc w:val="both"/>
            </w:pP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铲除修补起皮空鼓部分；</w:t>
            </w:r>
          </w:p>
          <w:p>
            <w:pPr>
              <w:pStyle w:val="null3"/>
              <w:ind w:firstLine="199"/>
              <w:jc w:val="both"/>
            </w:pP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基层处理，整体</w:t>
            </w:r>
            <w:r>
              <w:rPr>
                <w:rFonts w:ascii="仿宋_GB2312" w:hAnsi="仿宋_GB2312" w:cs="仿宋_GB2312" w:eastAsia="仿宋_GB2312"/>
                <w:sz w:val="21"/>
              </w:rPr>
              <w:t>打磨平整，刷两遍漆</w:t>
            </w:r>
            <w:r>
              <w:rPr>
                <w:rFonts w:ascii="仿宋_GB2312" w:hAnsi="仿宋_GB2312" w:cs="仿宋_GB2312" w:eastAsia="仿宋_GB2312"/>
                <w:sz w:val="21"/>
              </w:rPr>
              <w:t>；</w:t>
            </w:r>
          </w:p>
          <w:p>
            <w:pPr>
              <w:pStyle w:val="null3"/>
              <w:ind w:firstLine="199"/>
              <w:jc w:val="both"/>
            </w:pP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主材为主流品牌</w:t>
            </w:r>
            <w:r>
              <w:rPr>
                <w:rFonts w:ascii="仿宋_GB2312" w:hAnsi="仿宋_GB2312" w:cs="仿宋_GB2312" w:eastAsia="仿宋_GB2312"/>
                <w:sz w:val="21"/>
              </w:rPr>
              <w:t>（宝塔山、经建、星邦等同级别品牌）</w:t>
            </w:r>
            <w:r>
              <w:rPr>
                <w:rFonts w:ascii="仿宋_GB2312" w:hAnsi="仿宋_GB2312" w:cs="仿宋_GB2312" w:eastAsia="仿宋_GB2312"/>
                <w:sz w:val="21"/>
              </w:rPr>
              <w:t>醇酸磁漆。</w:t>
            </w:r>
          </w:p>
          <w:p>
            <w:pPr>
              <w:pStyle w:val="null3"/>
              <w:ind w:firstLine="199"/>
              <w:jc w:val="both"/>
            </w:pPr>
            <w:r>
              <w:rPr>
                <w:rFonts w:ascii="仿宋_GB2312" w:hAnsi="仿宋_GB2312" w:cs="仿宋_GB2312" w:eastAsia="仿宋_GB2312"/>
                <w:sz w:val="21"/>
              </w:rPr>
              <w:t>施工中床、家具等</w:t>
            </w:r>
            <w:r>
              <w:rPr>
                <w:rFonts w:ascii="仿宋_GB2312" w:hAnsi="仿宋_GB2312" w:cs="仿宋_GB2312" w:eastAsia="仿宋_GB2312"/>
                <w:sz w:val="21"/>
              </w:rPr>
              <w:t>物品</w:t>
            </w:r>
            <w:r>
              <w:rPr>
                <w:rFonts w:ascii="仿宋_GB2312" w:hAnsi="仿宋_GB2312" w:cs="仿宋_GB2312" w:eastAsia="仿宋_GB2312"/>
                <w:sz w:val="21"/>
              </w:rPr>
              <w:t>的搬移，空调、电扇、门窗等污染保护，现场卫生清理等费用一并综合考虑。</w:t>
            </w:r>
          </w:p>
          <w:p>
            <w:pPr>
              <w:pStyle w:val="null3"/>
              <w:ind w:firstLine="200"/>
              <w:jc w:val="both"/>
            </w:pPr>
            <w:r>
              <w:rPr>
                <w:rFonts w:ascii="仿宋_GB2312" w:hAnsi="仿宋_GB2312" w:cs="仿宋_GB2312" w:eastAsia="仿宋_GB2312"/>
                <w:sz w:val="21"/>
                <w:b/>
              </w:rPr>
              <w:t>清洗部分：</w:t>
            </w:r>
          </w:p>
          <w:p>
            <w:pPr>
              <w:pStyle w:val="null3"/>
              <w:ind w:firstLine="199"/>
              <w:jc w:val="both"/>
            </w:pPr>
            <w:r>
              <w:rPr>
                <w:rFonts w:ascii="仿宋_GB2312" w:hAnsi="仿宋_GB2312" w:cs="仿宋_GB2312" w:eastAsia="仿宋_GB2312"/>
                <w:sz w:val="21"/>
              </w:rPr>
              <w:t>对各宿舍卫生间瓷砖墙面、蹲便、面盆进行专业</w:t>
            </w:r>
            <w:r>
              <w:rPr>
                <w:rFonts w:ascii="仿宋_GB2312" w:hAnsi="仿宋_GB2312" w:cs="仿宋_GB2312" w:eastAsia="仿宋_GB2312"/>
                <w:sz w:val="21"/>
              </w:rPr>
              <w:t>深度</w:t>
            </w:r>
            <w:r>
              <w:rPr>
                <w:rFonts w:ascii="仿宋_GB2312" w:hAnsi="仿宋_GB2312" w:cs="仿宋_GB2312" w:eastAsia="仿宋_GB2312"/>
                <w:sz w:val="21"/>
              </w:rPr>
              <w:t>清洁。</w:t>
            </w:r>
            <w:r>
              <w:rPr>
                <w:rFonts w:ascii="仿宋_GB2312" w:hAnsi="仿宋_GB2312" w:cs="仿宋_GB2312" w:eastAsia="仿宋_GB2312"/>
                <w:sz w:val="21"/>
              </w:rPr>
              <w:t xml:space="preserve">                               </w:t>
            </w:r>
          </w:p>
          <w:p>
            <w:pPr>
              <w:pStyle w:val="null3"/>
              <w:ind w:firstLine="199"/>
              <w:jc w:val="both"/>
            </w:pPr>
            <w:r>
              <w:rPr>
                <w:rFonts w:ascii="仿宋_GB2312" w:hAnsi="仿宋_GB2312" w:cs="仿宋_GB2312" w:eastAsia="仿宋_GB2312"/>
                <w:sz w:val="21"/>
              </w:rPr>
              <w:t>2、工期及卫生</w:t>
            </w:r>
          </w:p>
          <w:p>
            <w:pPr>
              <w:pStyle w:val="null3"/>
              <w:ind w:firstLine="199"/>
              <w:jc w:val="both"/>
            </w:pPr>
            <w:r>
              <w:rPr>
                <w:rFonts w:ascii="仿宋_GB2312" w:hAnsi="仿宋_GB2312" w:cs="仿宋_GB2312" w:eastAsia="仿宋_GB2312"/>
                <w:sz w:val="21"/>
              </w:rPr>
              <w:t>为了保证新生正常入住公寓，为新生营造一个干净整洁的住宿环境，暑假期间对空出宿舍进行粉刷油漆，工程务必于</w:t>
            </w:r>
            <w:r>
              <w:rPr>
                <w:rFonts w:ascii="仿宋_GB2312" w:hAnsi="仿宋_GB2312" w:cs="仿宋_GB2312" w:eastAsia="仿宋_GB2312"/>
                <w:sz w:val="21"/>
              </w:rPr>
              <w:t>8月</w:t>
            </w:r>
            <w:r>
              <w:rPr>
                <w:rFonts w:ascii="仿宋_GB2312" w:hAnsi="仿宋_GB2312" w:cs="仿宋_GB2312" w:eastAsia="仿宋_GB2312"/>
                <w:sz w:val="21"/>
              </w:rPr>
              <w:t>20</w:t>
            </w:r>
            <w:r>
              <w:rPr>
                <w:rFonts w:ascii="仿宋_GB2312" w:hAnsi="仿宋_GB2312" w:cs="仿宋_GB2312" w:eastAsia="仿宋_GB2312"/>
                <w:sz w:val="21"/>
              </w:rPr>
              <w:t>日前完工，工程质量达到方案要求。</w:t>
            </w:r>
          </w:p>
          <w:p>
            <w:pPr>
              <w:pStyle w:val="null3"/>
            </w:pPr>
            <w:r>
              <w:rPr>
                <w:rFonts w:ascii="仿宋_GB2312" w:hAnsi="仿宋_GB2312" w:cs="仿宋_GB2312" w:eastAsia="仿宋_GB2312"/>
                <w:sz w:val="21"/>
              </w:rPr>
              <w:t>卫生要求达到新生入住标准，保证新生入住时干净整洁，具体是：窗门框、玻璃、门锁、灯、风扇、桌、凳、床、柜、开关插座、地面、面盆、马桶等清理干净，乳胶漆滴痕，床柜等宿舍设施按要求摆放到位。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本工程按国家和陕西省西安市现行质量评定标准和施工技术验收规范执行，在工程施工期间颁布新规范或新版本适用本工程的需遵照执行。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本工程按国家和陕西省西安市现行质量评定标准和施工技术验收规范执行，在工程施工期间颁布新规范或新版本适用本工程的需遵照执行。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具体施工内容详见分部分项工程量清单。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（1）工期：于2026年8月20日前完工 （2）本项目无预付款，竣工验收合格后支付至合同总价款的 80% ，审计结束后，支付至审定结算总价的97%，剩余3%作为保修金，竣工验收合格缺陷责任期满后免息支付（扣除相关应扣费用）。 （3）本项目采取兼投不兼中原则，供应商可以参加其中一个包或多个包的磋商，但只能成为其中一个包的第一成交候选人，剩余包中，只参与评审但不作为成交候选人推荐，评审顺序按照采购包1、采购包2顺序评审。 （4）其他：1.为顺利推进政府采购电子化交易平台应用工作，供应商需要在线提交所有通过电子化交易平台实施的政府采购项目的响应文件，同时，线下提交纸质响应文件正本壹份、副本贰份。2.纸质响应文件正、副本分别胶装，标明供应商名称密封递交，递交截止时间同在线递交电子响应文件截止时间一致，递交地址：西安市未央区太华路与凤城三路十字西南角禾旭四海中心1002室（纸质响应文件可邮寄，邮件寄出时间应在递交电子响应文件截止时间之前，邮寄地址：陕西省西安市未央区太华路与凤城三路十字西南角禾旭四海中心1002室，联系人：曹天天，联系电话：13020759580）。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法定代表人资格证明书或法定代表人授权委托书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提供截止至开标时间前一年内任意一个月的缴纳凭据:(依法免税的投标人应提供相关文件证明)；</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供应商具备建设行政主管部门颁发的建筑工程施工总承包三级（含）及以上或建筑装修装饰工程专业承包二级（含）及以上资质，且具有有效的安全生产许可证；</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项目经理须具备建筑工程专业二级（含二级）及以上注册建造师证书和有效的安全生产考核合格证，在本单位注册且无在建工程；</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资格证明文件-采购1.docx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资格证明文件-采购1.docx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法定代表人资格证明书或法定代表人授权委托书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提供截止至开标时间前一年内任意一个月的缴纳凭据:(依法免税的投标人应提供相关文件证明)；</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供应商具备建设行政主管部门颁发的建筑工程施工总承包三级（含）及以上或建筑装修装饰工程专业承包二级（含）及以上资质，且具有有效的安全生产许可证；</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项目经理须具备建筑工程专业二级（含二级）及以上注册建造师证书和有效的安全生产考核合格证，在本单位注册且无在建工程；</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资格证明文件-采购2.docx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资格证明文件-采购2.docx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已标价工程量清单-采购包1.docx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业绩-采购包1.docx 技术方案-采购包1.docx 已标价工程量清单-采购包1.docx 中小企业声明函 残疾人福利性单位声明函 技术、商务及其他条款偏离表-采购包1.docx 供应商承诺书-采购包1.docx 响应函 监狱企业的证明文件 资格证明文件-采购1.docx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已标价工程量清单-采购包1.docx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技术、商务及其他条款偏离表-采购包1.docx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响应函 已标价工程量清单-采购包2.docx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供应商承诺书-采购包2.docx 中小企业声明函 残疾人福利性单位声明函 技术方案-采购包2.docx 业绩-采购包2.docx 技术、商务及其他条款偏离表-采购包2.docx 响应函 资格证明文件-采购2.docx 已标价工程量清单-采购包2.docx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响应函 已标价工程量清单-采购包2.docx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技术、商务及其他条款偏离表-采购包2.docx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 总体概述与部署；2. 主要施工工艺与方法； 3. 施工重点、难点分析及对策； 4. 施工资源保障与平面布置。 二、评审标准： 方案内容全面，合规性、可行性强，得12 分； 每缺一项评审内容扣3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1.技术保障措施； 2.组织管理措施； 3.过程质量控制； 4.验收与整改措施。 二、评审标准： 确保工程质量的技术组织措施详尽、逻辑清楚、针对性及可行性强，得 8 分； 1. 每缺一项评审内容扣 2 分； 2.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1.安全技术措施； 2.安全组织管理； 3.现场安全管控； 4.应急处置措施。 二、评审标准： 确保安全生产的技术组织措施详尽、合理可行、逻辑清楚、针对性及可行性强，得 8 分； 1. 每缺一项评审内容扣 2 分； 2.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环境保护措施、施工现场扬尘预防措施</w:t>
            </w:r>
          </w:p>
        </w:tc>
        <w:tc>
          <w:tcPr>
            <w:tcW w:type="dxa" w:w="2492"/>
          </w:tcPr>
          <w:p>
            <w:pPr>
              <w:pStyle w:val="null3"/>
            </w:pPr>
            <w:r>
              <w:rPr>
                <w:rFonts w:ascii="仿宋_GB2312" w:hAnsi="仿宋_GB2312" w:cs="仿宋_GB2312" w:eastAsia="仿宋_GB2312"/>
              </w:rPr>
              <w:t>一、评审内容： 1.环境保护基础措施； 2.施工现场扬尘源头控制； 3.扬尘过程管控措施； 4.扬尘末端治理与监测。 二、评审标准： 环境保护措施及施工现场扬尘预防措施详尽、合理可行、逻辑清楚、针对性及可行性强，得6分； 每缺一项评审内容扣 1.5 分； 1.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1工期计划编制； 2.技术保障措施； 3.组织管理措施； 4.进度管控与应急。 二、评审标准： 确保工期的技术组织措施详尽、合理可行、逻辑清楚、针对性及可行性强，得 8分； 每缺一项评审内容扣 2分； 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设备配备和材料投入计划项目组织管理机构安排计划</w:t>
            </w:r>
          </w:p>
        </w:tc>
        <w:tc>
          <w:tcPr>
            <w:tcW w:type="dxa" w:w="2492"/>
          </w:tcPr>
          <w:p>
            <w:pPr>
              <w:pStyle w:val="null3"/>
            </w:pPr>
            <w:r>
              <w:rPr>
                <w:rFonts w:ascii="仿宋_GB2312" w:hAnsi="仿宋_GB2312" w:cs="仿宋_GB2312" w:eastAsia="仿宋_GB2312"/>
              </w:rPr>
              <w:t>一、评审内容： 1.设备配备计划； 2.材料投入计划； 3.设备材料适配性； 4.供应保障措施。 二、评审标准： 各种设备配置齐全，材料充足，得6分； 每缺一项评审内容扣 1.5分；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1.人员配置计划； 2.进场退场安排； 3.技能匹配保障； 4.劳动力保障措施。 二、评审标准： 劳动力安排计划详细，合理，完全满足项目需求，得 8 分； 每缺一项评审内容扣 2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一、评审内容： 项目部人员配备方案：1.人员配置架构2.专业知识体系 3.岗位分工 4.岗位职责设置等 二、评审标准： 项目部人员配备合理、分工科学、专业知识构架全面、岗位职责明确，得 6 分； 每缺一项评审内容扣 1.5分； 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新材料、新设备、新工艺、新技术应用</w:t>
            </w:r>
          </w:p>
        </w:tc>
        <w:tc>
          <w:tcPr>
            <w:tcW w:type="dxa" w:w="2492"/>
          </w:tcPr>
          <w:p>
            <w:pPr>
              <w:pStyle w:val="null3"/>
            </w:pPr>
            <w:r>
              <w:rPr>
                <w:rFonts w:ascii="仿宋_GB2312" w:hAnsi="仿宋_GB2312" w:cs="仿宋_GB2312" w:eastAsia="仿宋_GB2312"/>
              </w:rPr>
              <w:t>一、评审内容： 1.四新技术应用方案：拟采用的“四新”技术（材料、设备、工艺、技术）的具体内容、应用部位及规模。 2.效益分析：应用“四新”技术后在提高工程质量、缩短工期、降低工程造价方面的具体效益对比与量化分析。 二、评审标准： 新材料、新设备、新工艺、新技术应用，完全合理，得4分； 每缺一项评审内容扣 2分；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供应商自2023年6月1日以来类似项目业绩（业绩以合同复印件加盖公章为准）：每提供一份有效业绩证明得2分，满分为4分。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 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已标价工程量清单-采购包1.docx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 总体概述与部署；2. 主要施工工艺与方法； 3. 施工重点、难点分析及对策； 4. 施工资源保障与平面布置。 二、评审标准： 方案内容全面，合规性、可行性强，得12 分； 每缺一项评审内容扣3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1.技术保障措施； 2.组织管理措施； 3.过程质量控制； 4.验收与整改措施。 二、评审标准： 确保工程质量的技术组织措施详尽、逻辑清楚、针对性及可行性强，得 8 分； 每缺一项评审内容扣 2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1.安全技术措施； 2.安全组织管理； 3.现场安全管控； 4.应急处置措施。 二、评审标准： 确保安全生产的技术组织措施详尽、合理可行、逻辑清楚、针对性及可行性强，得 8 分； 每缺一项评审内容扣 2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环境保护措施、施工现场扬尘预防措施</w:t>
            </w:r>
          </w:p>
        </w:tc>
        <w:tc>
          <w:tcPr>
            <w:tcW w:type="dxa" w:w="2492"/>
          </w:tcPr>
          <w:p>
            <w:pPr>
              <w:pStyle w:val="null3"/>
            </w:pPr>
            <w:r>
              <w:rPr>
                <w:rFonts w:ascii="仿宋_GB2312" w:hAnsi="仿宋_GB2312" w:cs="仿宋_GB2312" w:eastAsia="仿宋_GB2312"/>
              </w:rPr>
              <w:t>一、评审内容： 1.环境保护基础措施； 2.施工现场扬尘源头控制； 3.扬尘过程管控措施； 4.扬尘末端治理与监测。 二、评审标准： 环境保护措施及施工现场扬尘预防措施详尽、合理可行、逻辑清楚、针对性及可行性强，得6分； 每缺一项评审内容扣 1.5分；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1.工期计划编制； 2.技术保障措施； 3.组织管理措施； 4.进度管控与应急。 二、评审标准： 确保工期的技术组织措施详尽、合理可行、逻辑清楚、针对性及可行性强，得 8分； 每缺一项评审内容扣 2分； 每项评审内容每存在 1 处缺陷扣 0.5 分； 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设备配备和材料投入计划项目组织管理机构安排计划</w:t>
            </w:r>
          </w:p>
        </w:tc>
        <w:tc>
          <w:tcPr>
            <w:tcW w:type="dxa" w:w="2492"/>
          </w:tcPr>
          <w:p>
            <w:pPr>
              <w:pStyle w:val="null3"/>
            </w:pPr>
            <w:r>
              <w:rPr>
                <w:rFonts w:ascii="仿宋_GB2312" w:hAnsi="仿宋_GB2312" w:cs="仿宋_GB2312" w:eastAsia="仿宋_GB2312"/>
              </w:rPr>
              <w:t>一、评审内容： 1.设备配备计划； 2.材料投入计划； 3.设备材料适配性； 4.供应保障措施。 二、评审标准： 各种设备配置齐全，材料充足，得6分； 每缺一项评审内容扣 1.5分；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1.人员配置计划； 2.进场退场安排； 3.技能匹配保障； 4.劳动力保障措施。 二、评审标准： 劳动力安排计划详细，合理，完全满足项目需求，得 8 分； 每缺一项评审内容扣 2 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一、评审内容： 项目部人员配备方案：1.人员配置架构2.专业知识体系 3.岗位分工 4.岗位职责设置等二、评审标准： 项目部人员配备合理、分工科学、专业知识构架全面、岗位职责明确，得 6分； 每缺一项评审内容扣 1.5分； 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新材料、新设备、新工艺、新技术应用</w:t>
            </w:r>
          </w:p>
        </w:tc>
        <w:tc>
          <w:tcPr>
            <w:tcW w:type="dxa" w:w="2492"/>
          </w:tcPr>
          <w:p>
            <w:pPr>
              <w:pStyle w:val="null3"/>
            </w:pPr>
            <w:r>
              <w:rPr>
                <w:rFonts w:ascii="仿宋_GB2312" w:hAnsi="仿宋_GB2312" w:cs="仿宋_GB2312" w:eastAsia="仿宋_GB2312"/>
              </w:rPr>
              <w:t>一、评审内容： 1.四新技术应用方案：拟采用的“四新”技术（材料、设备、工艺、技术）的具体内容、应用部位及规模。 2.效益分析：应用“四新”技术后在提高工程质量、缩短工期、降低工程造价方面的具体效益对比与量化分析。 二、评审标准： 新材料、新设备、新工艺、新技术应用，完全合理，得4分； 每缺一项评审内容扣 2分； 每项评审内容每存在 1 处缺陷扣 0.5 分，扣完本项分值为止。 注：评审标准 “缺陷” 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供应商自2023年6月1日以来类似项目业绩（业绩以合同复印件加盖公章为准）：每提供一份有效业绩证明得2分，满分为4分。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 公式计算：响应报价得分=(基准价／响应报价)×价格权值×100计算分数时四舍五入取小数点后两位。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详见附件：已标价工程量清单-采购包1.docx</w:t>
      </w:r>
    </w:p>
    <w:p>
      <w:pPr>
        <w:pStyle w:val="null3"/>
        <w:ind w:firstLine="960"/>
      </w:pPr>
      <w:r>
        <w:rPr>
          <w:rFonts w:ascii="仿宋_GB2312" w:hAnsi="仿宋_GB2312" w:cs="仿宋_GB2312" w:eastAsia="仿宋_GB2312"/>
        </w:rPr>
        <w:t>详见附件：技术、商务及其他条款偏离表-采购包1.docx</w:t>
      </w:r>
    </w:p>
    <w:p>
      <w:pPr>
        <w:pStyle w:val="null3"/>
        <w:ind w:firstLine="960"/>
      </w:pPr>
      <w:r>
        <w:rPr>
          <w:rFonts w:ascii="仿宋_GB2312" w:hAnsi="仿宋_GB2312" w:cs="仿宋_GB2312" w:eastAsia="仿宋_GB2312"/>
        </w:rPr>
        <w:t>详见附件：技术方案-采购包1.docx</w:t>
      </w:r>
    </w:p>
    <w:p>
      <w:pPr>
        <w:pStyle w:val="null3"/>
        <w:ind w:firstLine="960"/>
      </w:pPr>
      <w:r>
        <w:rPr>
          <w:rFonts w:ascii="仿宋_GB2312" w:hAnsi="仿宋_GB2312" w:cs="仿宋_GB2312" w:eastAsia="仿宋_GB2312"/>
        </w:rPr>
        <w:t>详见附件：业绩-采购包1.docx</w:t>
      </w:r>
    </w:p>
    <w:p>
      <w:pPr>
        <w:pStyle w:val="null3"/>
        <w:ind w:firstLine="960"/>
      </w:pPr>
      <w:r>
        <w:rPr>
          <w:rFonts w:ascii="仿宋_GB2312" w:hAnsi="仿宋_GB2312" w:cs="仿宋_GB2312" w:eastAsia="仿宋_GB2312"/>
        </w:rPr>
        <w:t>详见附件：资格证明文件-采购1.docx</w:t>
      </w:r>
    </w:p>
    <w:p>
      <w:pPr>
        <w:pStyle w:val="null3"/>
        <w:ind w:firstLine="960"/>
      </w:pPr>
      <w:r>
        <w:rPr>
          <w:rFonts w:ascii="仿宋_GB2312" w:hAnsi="仿宋_GB2312" w:cs="仿宋_GB2312" w:eastAsia="仿宋_GB2312"/>
        </w:rPr>
        <w:t>详见附件：供应商承诺书-采购包1.docx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详见附件：已标价工程量清单-采购包2.docx</w:t>
      </w:r>
    </w:p>
    <w:p>
      <w:pPr>
        <w:pStyle w:val="null3"/>
        <w:ind w:firstLine="960"/>
      </w:pPr>
      <w:r>
        <w:rPr>
          <w:rFonts w:ascii="仿宋_GB2312" w:hAnsi="仿宋_GB2312" w:cs="仿宋_GB2312" w:eastAsia="仿宋_GB2312"/>
        </w:rPr>
        <w:t>详见附件：技术、商务及其他条款偏离表-采购包2.docx</w:t>
      </w:r>
    </w:p>
    <w:p>
      <w:pPr>
        <w:pStyle w:val="null3"/>
        <w:ind w:firstLine="960"/>
      </w:pPr>
      <w:r>
        <w:rPr>
          <w:rFonts w:ascii="仿宋_GB2312" w:hAnsi="仿宋_GB2312" w:cs="仿宋_GB2312" w:eastAsia="仿宋_GB2312"/>
        </w:rPr>
        <w:t>详见附件：技术方案-采购包2.docx</w:t>
      </w:r>
    </w:p>
    <w:p>
      <w:pPr>
        <w:pStyle w:val="null3"/>
        <w:ind w:firstLine="960"/>
      </w:pPr>
      <w:r>
        <w:rPr>
          <w:rFonts w:ascii="仿宋_GB2312" w:hAnsi="仿宋_GB2312" w:cs="仿宋_GB2312" w:eastAsia="仿宋_GB2312"/>
        </w:rPr>
        <w:t>详见附件：业绩-采购包2.docx</w:t>
      </w:r>
    </w:p>
    <w:p>
      <w:pPr>
        <w:pStyle w:val="null3"/>
        <w:ind w:firstLine="960"/>
      </w:pPr>
      <w:r>
        <w:rPr>
          <w:rFonts w:ascii="仿宋_GB2312" w:hAnsi="仿宋_GB2312" w:cs="仿宋_GB2312" w:eastAsia="仿宋_GB2312"/>
        </w:rPr>
        <w:t>详见附件：资格证明文件-采购2.docx</w:t>
      </w:r>
    </w:p>
    <w:p>
      <w:pPr>
        <w:pStyle w:val="null3"/>
        <w:ind w:firstLine="960"/>
      </w:pPr>
      <w:r>
        <w:rPr>
          <w:rFonts w:ascii="仿宋_GB2312" w:hAnsi="仿宋_GB2312" w:cs="仿宋_GB2312" w:eastAsia="仿宋_GB2312"/>
        </w:rPr>
        <w:t>详见附件：供应商承诺书-采购包2.docx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