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版本号：PM招2026-0500120260604001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未来人工智能计算中心项目专项审计调查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PM招2026-05001</w:t>
      </w:r>
      <w:r>
        <w:br/>
      </w:r>
      <w:r>
        <w:br/>
      </w:r>
      <w:r>
        <w:br/>
      </w:r>
    </w:p>
    <w:p>
      <w:pPr>
        <w:pStyle w:val="null3"/>
        <w:jc w:val="center"/>
        <w:outlineLvl w:val="2"/>
      </w:pPr>
      <w:r>
        <w:rPr>
          <w:rFonts w:ascii="仿宋_GB2312" w:hAnsi="仿宋_GB2312" w:cs="仿宋_GB2312" w:eastAsia="仿宋_GB2312"/>
          <w:sz w:val="28"/>
          <w:b/>
        </w:rPr>
        <w:t>西安市雁塔区审计局</w:t>
      </w:r>
    </w:p>
    <w:p>
      <w:pPr>
        <w:pStyle w:val="null3"/>
        <w:jc w:val="center"/>
        <w:outlineLvl w:val="2"/>
      </w:pPr>
      <w:r>
        <w:rPr>
          <w:rFonts w:ascii="仿宋_GB2312" w:hAnsi="仿宋_GB2312" w:cs="仿宋_GB2312" w:eastAsia="仿宋_GB2312"/>
          <w:sz w:val="28"/>
          <w:b/>
        </w:rPr>
        <w:t>普迈项目管理集团有限公司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普迈项目管理集团有限公司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西安市雁塔区审计局</w:t>
      </w:r>
      <w:r>
        <w:rPr>
          <w:rFonts w:ascii="仿宋_GB2312" w:hAnsi="仿宋_GB2312" w:cs="仿宋_GB2312" w:eastAsia="仿宋_GB2312"/>
        </w:rPr>
        <w:t>委托，拟对</w:t>
      </w:r>
      <w:r>
        <w:rPr>
          <w:rFonts w:ascii="仿宋_GB2312" w:hAnsi="仿宋_GB2312" w:cs="仿宋_GB2312" w:eastAsia="仿宋_GB2312"/>
        </w:rPr>
        <w:t>未来人工智能计算中心项目专项审计调查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PM招2026-05001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未来人工智能计算中心项目专项审计调查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未来人工智能计算中心项目专项审计调查，按时完成审计任务，出具审计报告。通过审计，确认建设工程项目投资的真实性、合法性，保障交付使用资产的真实性，完整性，揭示项目投资建设和管理中存在的问题，评价项目的投资效益，促进项目单位不断总结经验，加强项目管理，保障建设资金合理合法和有效使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采购包1（未来人工智能计算中心项目专项审计调查）：属于专门面向中小企业采购。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投标全过程，其中法定代表人直接参加投标的，须出具法定代表人身份证,并与营业执照上信息一致；法定代表人授权代表参加投标的，须出具法定代表人授权书及授权代表身份证。：供应商应授权合法的人员参加投标全过程，其中法定代表人直接参加投标的，须出具法定代表人身份证，并与营业执照上信息一致；法定代表人授权代表参加投标的，须出具法定代表人授权书及授权代表身份证。供应商需在项目电子化交易系统中按要求上传相应证明文件并进行电子签章。</w:t>
      </w:r>
    </w:p>
    <w:p>
      <w:pPr>
        <w:pStyle w:val="null3"/>
      </w:pPr>
      <w:r>
        <w:rPr>
          <w:rFonts w:ascii="仿宋_GB2312" w:hAnsi="仿宋_GB2312" w:cs="仿宋_GB2312" w:eastAsia="仿宋_GB2312"/>
        </w:rPr>
        <w:t>2、拟派项目负责人须具备一级注册造价工程师证书且在本单位注册：拟派项目负责人须具备一级注册造价工程师证书且在本单位注册；供应商需在项目电子化交易系统中按要求上传相应证明文件并进行电子签章。</w:t>
      </w:r>
    </w:p>
    <w:p>
      <w:pPr>
        <w:pStyle w:val="null3"/>
      </w:pPr>
      <w:r>
        <w:rPr>
          <w:rFonts w:ascii="仿宋_GB2312" w:hAnsi="仿宋_GB2312" w:cs="仿宋_GB2312" w:eastAsia="仿宋_GB2312"/>
        </w:rPr>
        <w:t>3、供应商在“信用中国”网站（www.creditchina.gov.cn）、“中国政府采购网”网站（www.ccgp.gov.cn)等未被列入失信被执行人名单、重大税收违法案件当事人名单、政府采购严重违法失信行为记录名单；对列入失信被执行人、政府采购严重违法失信行为记录名单的供应商，拒绝参与本项目投标。：供应商在“信用中国”网站（www.creditchina.gov.cn）、“中国政府采购网”网站（www.ccgp.gov.cn）等未被列入失信被执行人名单、重大税收违法案件当事人名单、政府采购严重违法失信行为记录名单；对列入失信被执行人、政府采购严重违法失信行为记录名单的供应商,拒绝参与本项目投标。供应商需在项目电子化交易系统中按要求上传相应证明文件并进行电子签章。</w:t>
      </w:r>
    </w:p>
    <w:p>
      <w:pPr>
        <w:pStyle w:val="null3"/>
      </w:pPr>
      <w:r>
        <w:rPr>
          <w:rFonts w:ascii="仿宋_GB2312" w:hAnsi="仿宋_GB2312" w:cs="仿宋_GB2312" w:eastAsia="仿宋_GB2312"/>
        </w:rPr>
        <w:t>4、本项目不接受联合体投标。：本项目不接受联合体投标，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西安市雁塔区审计局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西安市雁塔区小寨东路168号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029-85381751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普迈项目管理集团有限公司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陕西省西安市雁塔区陕西省西安市雁塔区太白南路139号荣禾云图中心11幢4层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18192653503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招标代理服务费的收取参照国家计委关于印发《招标代理服务收费管理暂行办法》（计价格[2002]1980号）的通知和《国家发改委关于降低部分建设项目收费标准规范收费行为等有关问题的通知》（发改价格〔2011〕534号）的有关规定，按服务类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西安市雁塔区审计局</w:t>
      </w:r>
      <w:r>
        <w:rPr>
          <w:rFonts w:ascii="仿宋_GB2312" w:hAnsi="仿宋_GB2312" w:cs="仿宋_GB2312" w:eastAsia="仿宋_GB2312"/>
        </w:rPr>
        <w:t>和</w:t>
      </w:r>
      <w:r>
        <w:rPr>
          <w:rFonts w:ascii="仿宋_GB2312" w:hAnsi="仿宋_GB2312" w:cs="仿宋_GB2312" w:eastAsia="仿宋_GB2312"/>
        </w:rPr>
        <w:t>普迈项目管理集团有限公司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西安市雁塔区审计局</w:t>
      </w:r>
      <w:r>
        <w:rPr>
          <w:rFonts w:ascii="仿宋_GB2312" w:hAnsi="仿宋_GB2312" w:cs="仿宋_GB2312" w:eastAsia="仿宋_GB2312"/>
        </w:rPr>
        <w:t>负责解释。除上述磋商文件内容，其他内容由</w:t>
      </w:r>
      <w:r>
        <w:rPr>
          <w:rFonts w:ascii="仿宋_GB2312" w:hAnsi="仿宋_GB2312" w:cs="仿宋_GB2312" w:eastAsia="仿宋_GB2312"/>
        </w:rPr>
        <w:t>普迈项目管理集团有限公司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西安市雁塔区审计局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普迈项目管理集团有限公司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的验收标准，确认建设工程项目投资的真实性、合法性，保障交付使用资产的真实性、完整性，揭示项目投资建设和管理中存在的问题，评价项目的投资效益，促进项目单位不断总结经验，加强项目管理，保障建设资金合理合法和有效使用。</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普迈项目管理集团有限公司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普迈项目管理集团有限公司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普迈项目管理集团有限公司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联系人：李琳</w:t>
      </w:r>
    </w:p>
    <w:p>
      <w:pPr>
        <w:pStyle w:val="null3"/>
      </w:pPr>
      <w:r>
        <w:rPr>
          <w:rFonts w:ascii="仿宋_GB2312" w:hAnsi="仿宋_GB2312" w:cs="仿宋_GB2312" w:eastAsia="仿宋_GB2312"/>
        </w:rPr>
        <w:t>联系电话：18192653503</w:t>
      </w:r>
    </w:p>
    <w:p>
      <w:pPr>
        <w:pStyle w:val="null3"/>
      </w:pPr>
      <w:r>
        <w:rPr>
          <w:rFonts w:ascii="仿宋_GB2312" w:hAnsi="仿宋_GB2312" w:cs="仿宋_GB2312" w:eastAsia="仿宋_GB2312"/>
        </w:rPr>
        <w:t>地址：陕西省西安市雁塔区太白南路139号荣禾云图中心11幢4层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未来人工智能计算中心项目专项审计调查，按时完成审计任务，出具审计报告。通过审计，确认建设工程项目投资的真实性、合法性，保障交付使用资产的真实性，完整性，揭示项目投资建设和管理中存在的问题，评价项目的投资效益，促进项目单位不断总结经验，加强项目管理，保障建设资金合理合法和有效使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未来人工智能计算中心项目专项审计调查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标的名称：未来人工智能计算中心项目专项审计调查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1、审计重点是检查该项目竣工决算是否真实合法，交付使用资产是否真实完整，项目建设和管理是否符合法律法规。其主要审计内容如下：</w:t>
            </w:r>
          </w:p>
          <w:p>
            <w:pPr>
              <w:pStyle w:val="null3"/>
              <w:jc w:val="left"/>
            </w:pPr>
            <w:r>
              <w:rPr>
                <w:rFonts w:ascii="仿宋_GB2312" w:hAnsi="仿宋_GB2312" w:cs="仿宋_GB2312" w:eastAsia="仿宋_GB2312"/>
              </w:rPr>
              <w:t>（</w:t>
            </w:r>
            <w:r>
              <w:rPr>
                <w:rFonts w:ascii="仿宋_GB2312" w:hAnsi="仿宋_GB2312" w:cs="仿宋_GB2312" w:eastAsia="仿宋_GB2312"/>
              </w:rPr>
              <w:t>1）重大政策贯彻落实</w:t>
            </w:r>
          </w:p>
          <w:p>
            <w:pPr>
              <w:pStyle w:val="null3"/>
              <w:jc w:val="left"/>
            </w:pPr>
            <w:r>
              <w:rPr>
                <w:rFonts w:ascii="仿宋_GB2312" w:hAnsi="仿宋_GB2312" w:cs="仿宋_GB2312" w:eastAsia="仿宋_GB2312"/>
              </w:rPr>
              <w:t>（</w:t>
            </w:r>
            <w:r>
              <w:rPr>
                <w:rFonts w:ascii="仿宋_GB2312" w:hAnsi="仿宋_GB2312" w:cs="仿宋_GB2312" w:eastAsia="仿宋_GB2312"/>
              </w:rPr>
              <w:t>2）基本建设程序</w:t>
            </w:r>
          </w:p>
          <w:p>
            <w:pPr>
              <w:pStyle w:val="null3"/>
              <w:jc w:val="left"/>
            </w:pPr>
            <w:r>
              <w:rPr>
                <w:rFonts w:ascii="仿宋_GB2312" w:hAnsi="仿宋_GB2312" w:cs="仿宋_GB2312" w:eastAsia="仿宋_GB2312"/>
              </w:rPr>
              <w:t>（</w:t>
            </w:r>
            <w:r>
              <w:rPr>
                <w:rFonts w:ascii="仿宋_GB2312" w:hAnsi="仿宋_GB2312" w:cs="仿宋_GB2312" w:eastAsia="仿宋_GB2312"/>
              </w:rPr>
              <w:t>3）招投标及合同执行情况</w:t>
            </w:r>
          </w:p>
          <w:p>
            <w:pPr>
              <w:pStyle w:val="null3"/>
              <w:jc w:val="left"/>
            </w:pPr>
            <w:r>
              <w:rPr>
                <w:rFonts w:ascii="仿宋_GB2312" w:hAnsi="仿宋_GB2312" w:cs="仿宋_GB2312" w:eastAsia="仿宋_GB2312"/>
              </w:rPr>
              <w:t>（</w:t>
            </w:r>
            <w:r>
              <w:rPr>
                <w:rFonts w:ascii="仿宋_GB2312" w:hAnsi="仿宋_GB2312" w:cs="仿宋_GB2312" w:eastAsia="仿宋_GB2312"/>
              </w:rPr>
              <w:t>4）质量安全及建设管理</w:t>
            </w:r>
          </w:p>
          <w:p>
            <w:pPr>
              <w:pStyle w:val="null3"/>
              <w:jc w:val="left"/>
            </w:pPr>
            <w:r>
              <w:rPr>
                <w:rFonts w:ascii="仿宋_GB2312" w:hAnsi="仿宋_GB2312" w:cs="仿宋_GB2312" w:eastAsia="仿宋_GB2312"/>
              </w:rPr>
              <w:t>（</w:t>
            </w:r>
            <w:r>
              <w:rPr>
                <w:rFonts w:ascii="仿宋_GB2312" w:hAnsi="仿宋_GB2312" w:cs="仿宋_GB2312" w:eastAsia="仿宋_GB2312"/>
              </w:rPr>
              <w:t>5）审查工程结算情况</w:t>
            </w:r>
          </w:p>
          <w:p>
            <w:pPr>
              <w:pStyle w:val="null3"/>
              <w:jc w:val="left"/>
            </w:pPr>
            <w:r>
              <w:rPr>
                <w:rFonts w:ascii="仿宋_GB2312" w:hAnsi="仿宋_GB2312" w:cs="仿宋_GB2312" w:eastAsia="仿宋_GB2312"/>
              </w:rPr>
              <w:t>（</w:t>
            </w:r>
            <w:r>
              <w:rPr>
                <w:rFonts w:ascii="仿宋_GB2312" w:hAnsi="仿宋_GB2312" w:cs="仿宋_GB2312" w:eastAsia="仿宋_GB2312"/>
              </w:rPr>
              <w:t>6）竣工决算及财务收支</w:t>
            </w:r>
          </w:p>
          <w:p>
            <w:pPr>
              <w:pStyle w:val="null3"/>
              <w:jc w:val="both"/>
            </w:pPr>
            <w:r>
              <w:rPr>
                <w:rFonts w:ascii="仿宋_GB2312" w:hAnsi="仿宋_GB2312" w:cs="仿宋_GB2312" w:eastAsia="仿宋_GB2312"/>
                <w:color w:val="333333"/>
                <w:shd w:fill="FFFFFF" w:val="clear"/>
              </w:rPr>
              <w:t>2、</w:t>
            </w:r>
            <w:r>
              <w:rPr>
                <w:rFonts w:ascii="仿宋_GB2312" w:hAnsi="仿宋_GB2312" w:cs="仿宋_GB2312" w:eastAsia="仿宋_GB2312"/>
              </w:rPr>
              <w:t>审计目标</w:t>
            </w:r>
          </w:p>
          <w:p>
            <w:pPr>
              <w:pStyle w:val="null3"/>
            </w:pPr>
            <w:r>
              <w:rPr>
                <w:rFonts w:ascii="仿宋_GB2312" w:hAnsi="仿宋_GB2312" w:cs="仿宋_GB2312" w:eastAsia="仿宋_GB2312"/>
                <w:sz w:val="21"/>
              </w:rPr>
              <w:t>通过审计，确认建设工程项目投资的真实性、合法性，保障交付使用资产的真实性、完整性，揭示项目投资建设和管理中存在的问题，评价项目的投资效益，促进项目单位不断总结经验，加强项目管理，保障建设资金合理合法和有效使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本项目最高预算金额60.00万元。送审金额：暂按190000万元计。 报价要求： 工程审计基本费率最高限价：0.21‰，审减（增）额审计费（成果费）率最高限价：5%。 供应商的响应报价高于最高限价的，其响应报价将按无效处理。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依据竞争性磋商⽂件、磋商响应⽂件、澄清表（函）、合同内容及附件⽂本；符合合同签订时国家、省、市相关法律、法规、政策要求。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其他，付款条件说明： 成交人出具成果性文件，并配合采购人完成绩效评价。经采购人复核、验收合格后，成交供应商开具等额正规发票，采购人需在当年年度内一次性向成交人支付100%咨询服务费。（注：采购人最终付款结算金额不得高于采购最高限价。），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单位未全面履行合同义务或者发生违约，采购单位有权终止合同，依法向成交单位进行经济索赔，并报请采购监督管理机关进行相应的行政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请成交供应商在领取成交通知书前将纸质版磋商响应文件正本1册、副本1册打印盖章后递交至采购代理公司处，以便采购人进行留存备案等工作，成交供应商应保持磋商响应文件纸质版内容与电子版内容完全一致，否则将承担一切法律责任。2.磋商报价次数、磋商程序和最终报价的产生原则：本次磋商采用二次报价。磋商程序为：1）磋商小组对所有提交的响应文件进行评审；2）磋商小组所有成员集中与单一供应商分别进行磋商；3）供应商按照要求提交二次报价；4）磋商小组评审、推荐成交候选人。在磋商过程中，磋商小组可以根据磋商文件和磋商情况实质性变动采购需求中的技术、服务要求以及合同草案条款，二次报价为最终报价。3.本项目所属行业其他未列明行业从业人员100人及以上的为中型企业；从业人员10人及以上的为小型企业；从业人员10人以下的为微型企业。（具体见《工业和信息化部、国家统计局、国家发展和改革委员会、财政部关于印发中小企业划型标准规定的通知》（工信部联企业〔2011〕300号））4.落实政府采购的政策：（1）财政部、国家发展和改革委员会关于印发《节能产品政府采购实施意见》的通知（财库[2004]185号）；（2）财政部、国家环保总局联合印发《关于环境标志产品政府采购实施的意见》(财库[2006]90号)；（3）国务院办公厅关于建立政府强制采购节能产品制度的通知国办发〔2007〕51号，以财库〔2019〕9号为准；（4）《关于进一步加大政府采购支持中小企业力度的通知》（财库〔2022〕19号）；（5）财政部、工业和信息化部关于印发《政府采购促进中小企业发展管理办法》的通知(财库〔2020〕46号)；（6）财政部、司法部关于政府采购支持监狱企业发展有关问题的通知(财库〔2014〕68号)；（7）财政部、民政部、中国残疾人联合会关于促进残疾人就业政府采购政策的通知（财库〔2017〕141号）；（8）《西安市财政局关于促进政府采购公平竞争优化营商环境的通知》（市财函〔2021)431号）；（9）西安市财政局关于印发《关于调整西安市政府采购信用担保及信用融资合作机构联系名单的通知》（市财发〔2015〕4号）；（10）《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11）《陕西省中小企业政府采购信用融资办法》（陕财办采〔2018〕23号）；（12）《陕西省财政厅关于加快推进我省中小企业政府采购信用融资工作的通知》（陕财办采〔2020〕15号）；（13）《陕西省财政厅关于落实政府采购支持中小企业政策有关事项的通知》（陕财办采〔2022〕10号）；（14）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2、具有良好的商业信誉和健全的财务会计制度（提供2025年度财务审计报告或银行资信证明或财政部门认可的政府采购专业担保机构出具的投标担保函）； 3、具有履行合同所必需的设备和专业技术能力（格式详见附件）； 4、具有依法缴纳税收和社会保障资金的良好记录（同时提供磋商截止时间前6个月内缴存的任意时段的社保及税收缴纳证明；依法不需要缴纳的应提供相关证明文件)； 5、参加政府采购活动前三年内，在经营活动中没有重大违法记录（格式详见附件）。供应商需在项目电子化交易系统中按要求填写《投标函》完成承诺并进行电子签章。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具有良好的商业信誉和健全的财务会计制度(提供2025年度财务审计报告或银行资信证明或财政部门认可的政府采购专业担保机构出具的投标担保函）</w:t>
            </w:r>
          </w:p>
        </w:tc>
        <w:tc>
          <w:tcPr>
            <w:tcW w:type="dxa" w:w="1661"/>
          </w:tcPr>
          <w:p>
            <w:pPr>
              <w:pStyle w:val="null3"/>
            </w:pPr>
            <w:r>
              <w:rPr>
                <w:rFonts w:ascii="仿宋_GB2312" w:hAnsi="仿宋_GB2312" w:cs="仿宋_GB2312" w:eastAsia="仿宋_GB2312"/>
              </w:rPr>
              <w:t>一般资格条款.docx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特殊资格条款--法定代表人授权委托书.docx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拟派项目负责人须具备一级注册造价工程师证书且在本单位注册</w:t>
            </w:r>
          </w:p>
        </w:tc>
        <w:tc>
          <w:tcPr>
            <w:tcW w:type="dxa" w:w="3322"/>
          </w:tcPr>
          <w:p>
            <w:pPr>
              <w:pStyle w:val="null3"/>
            </w:pPr>
            <w:r>
              <w:rPr>
                <w:rFonts w:ascii="仿宋_GB2312" w:hAnsi="仿宋_GB2312" w:cs="仿宋_GB2312" w:eastAsia="仿宋_GB2312"/>
              </w:rPr>
              <w:t>拟派项目负责人须具备一级注册造价工程师证书且在本单位注册；供应商需在项目电子化交易系统中按要求上传相应证明文件并进行电子签章。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特殊资格条款--项目负责人.docx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在“信用中国”网站（www.creditchina.gov.cn）、“中国政府采购网”网站（www.ccgp.gov.cn)等未被列入失信被执行人名单、重大税收违法案件当事人名单、政府采购严重违法失信行为记录名单；对列入失信被执行人、政府采购严重违法失信行为记录名单的供应商，拒绝参与本项目投标。</w:t>
            </w:r>
          </w:p>
        </w:tc>
        <w:tc>
          <w:tcPr>
            <w:tcW w:type="dxa" w:w="3322"/>
          </w:tcPr>
          <w:p>
            <w:pPr>
              <w:pStyle w:val="null3"/>
            </w:pPr>
            <w:r>
              <w:rPr>
                <w:rFonts w:ascii="仿宋_GB2312" w:hAnsi="仿宋_GB2312" w:cs="仿宋_GB2312" w:eastAsia="仿宋_GB2312"/>
              </w:rPr>
              <w:t>供应商在“信用中国”网站（www.creditchina.gov.cn）、“中国政府采购网”网站（www.ccgp.gov.cn）等未被列入失信被执行人名单、重大税收违法案件当事人名单、政府采购严重违法失信行为记录名单；对列入失信被执行人、政府采购严重违法失信行为记录名单的供应商,拒绝参与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供应商诚信承诺书.docx 特殊资格条款--信用查询.docx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响应函 特殊资格条款-非联合体承诺.docx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 价，有可能影响产品质里或者不能诚信履约的，磋商小组应当要求其在评审现场合 理的时间内提供成本构成书面说明，并提交相关证明材料。书面说明应当按照国家 财务会计制度的规定要求，逐项就供应商提供的货物、工程和服务的主营业务成本 (应根据供应商企业类型予以区别)、税金及附加、销售费用、管理费用、财务费 用等成本构成事项详细陈述。2.供应商提交的相关证明材料，应当加盖供应商(法定名称)电子印章，在磋商小组要求的时间内通过项目电子化交易系统进行提交， 否则提交的相关证明材料无效。供应商不能证明其报价合理性的，磋商小组应当将 其响应文件作为无效处理。</w:t>
            </w:r>
          </w:p>
        </w:tc>
        <w:tc>
          <w:tcPr>
            <w:tcW w:type="dxa" w:w="1661"/>
          </w:tcPr>
          <w:p>
            <w:pPr>
              <w:pStyle w:val="null3"/>
            </w:pPr>
            <w:r>
              <w:rPr>
                <w:rFonts w:ascii="仿宋_GB2312" w:hAnsi="仿宋_GB2312" w:cs="仿宋_GB2312" w:eastAsia="仿宋_GB2312"/>
              </w:rPr>
              <w:t>磋商一览表.docx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针对本项目提供整体审计服务方案，包括：①重大政策贯彻落实；②基本建设程序；③招投标及合同执行情况；④质量安全及建设管理；⑤工程结算情况；⑥竣工决算及财务收支情况。 二、评审标准 ①完整性：方案须全面，对评审内容中的各项要求有详细描述及说明； ②可实施性：切合本项目实际情况，实施步骤清晰、合理； ③针对性：方案能够紧扣项目实际情况，内容科学合理，有操作性。 三、赋分标准（满分18分） ①重大政策贯彻落实：每完全满足一项评审标准得1分，不满足得0分。满分3分； ②基本建设程序：每完全满足一项评审标准得1分，不满足得0分。满分3分； ③招投标及合同执行情况：每完全满足一项评审标准得1分，不满足得0分。满分3分； ④质量安全及建设管理：每完全满足一项评审标准得1分，不满足得0分。满分3分； ⑤工程结算情况：每完全满足一项评审标准得1分，不满足得0分。满分3分；⑥质竣工决算及财务收支情况：每完全满足一项评审标准得1分，不满足得0分。满分3分。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成果文件质量保障措施</w:t>
            </w:r>
          </w:p>
        </w:tc>
        <w:tc>
          <w:tcPr>
            <w:tcW w:type="dxa" w:w="2492"/>
          </w:tcPr>
          <w:p>
            <w:pPr>
              <w:pStyle w:val="null3"/>
            </w:pPr>
            <w:r>
              <w:rPr>
                <w:rFonts w:ascii="仿宋_GB2312" w:hAnsi="仿宋_GB2312" w:cs="仿宋_GB2312" w:eastAsia="仿宋_GB2312"/>
              </w:rPr>
              <w:t>一、评审内容 针对本项目的成果文件质量保障措施； 二、评审标准 ①完整性：方案须全面，对评审内容中的各项要求有详细描述及说明； ②可实施性：切合本项目实际情况，实施步骤清晰、合理； ③针对性：方案能够紧扣项目实际情况，内容科学合理，有操作性。 三、赋分标准（满分6分） 每完全满足一项评审标准得2分，不满足得0分。满分6分。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审核工作风险控制制度</w:t>
            </w:r>
          </w:p>
        </w:tc>
        <w:tc>
          <w:tcPr>
            <w:tcW w:type="dxa" w:w="2492"/>
          </w:tcPr>
          <w:p>
            <w:pPr>
              <w:pStyle w:val="null3"/>
            </w:pPr>
            <w:r>
              <w:rPr>
                <w:rFonts w:ascii="仿宋_GB2312" w:hAnsi="仿宋_GB2312" w:cs="仿宋_GB2312" w:eastAsia="仿宋_GB2312"/>
              </w:rPr>
              <w:t>一、评审内容 针对本项目的成核工作风险控制制度； 二、评审标准 ①完整性：方案须全面，对评审内容中的各项要求有详细描述及说明； ②可实施性：切合本项目实际情况，实施步骤清晰、合理； ③针对性：方案能够紧扣项目实际情况，内容科学合理，有操作性。 三、赋分标准（满分6分） 每完全满足一项评审标准得2分，不满足得0分。满分6分。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进度计划及进度保证措施</w:t>
            </w:r>
          </w:p>
        </w:tc>
        <w:tc>
          <w:tcPr>
            <w:tcW w:type="dxa" w:w="2492"/>
          </w:tcPr>
          <w:p>
            <w:pPr>
              <w:pStyle w:val="null3"/>
            </w:pPr>
            <w:r>
              <w:rPr>
                <w:rFonts w:ascii="仿宋_GB2312" w:hAnsi="仿宋_GB2312" w:cs="仿宋_GB2312" w:eastAsia="仿宋_GB2312"/>
              </w:rPr>
              <w:t>一、评审内容 提供针对本项目的工作进度计划与进度保证措施等。 二、评审标准 ①完整性：计划及措施须全面，对评审内容中的各项要求有详细描述； ②可实施性：切合本项目实际情况，提出步骤清晰、合理的方案； ③针对性：能够紧扣项目实际情况，内容科学合理，有操作性。 三、赋分标准（满分6分） 每完全满足一项评审标准得2分，不满足得0分。满分6分。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审计重难点分析与理解</w:t>
            </w:r>
          </w:p>
        </w:tc>
        <w:tc>
          <w:tcPr>
            <w:tcW w:type="dxa" w:w="2492"/>
          </w:tcPr>
          <w:p>
            <w:pPr>
              <w:pStyle w:val="null3"/>
            </w:pPr>
            <w:r>
              <w:rPr>
                <w:rFonts w:ascii="仿宋_GB2312" w:hAnsi="仿宋_GB2312" w:cs="仿宋_GB2312" w:eastAsia="仿宋_GB2312"/>
              </w:rPr>
              <w:t>一、评审内容 针对本项目的重难点分析与理解； 二、评审标准 ①完整性：方案须全面，对评审内容中的各项要求有详细描述及说明； ②可实施性：切合本项目实际情况，实施步骤清晰、合理； ③针对性：方案能够紧扣项目实际情况，内容科学合理，有操作性。 三、赋分标准（满分9分） 每完全满足一项评审标准得3分，不满足得0分。满分9分。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针对审核工作提出的可行性意见及建议</w:t>
            </w:r>
          </w:p>
        </w:tc>
        <w:tc>
          <w:tcPr>
            <w:tcW w:type="dxa" w:w="2492"/>
          </w:tcPr>
          <w:p>
            <w:pPr>
              <w:pStyle w:val="null3"/>
            </w:pPr>
            <w:r>
              <w:rPr>
                <w:rFonts w:ascii="仿宋_GB2312" w:hAnsi="仿宋_GB2312" w:cs="仿宋_GB2312" w:eastAsia="仿宋_GB2312"/>
              </w:rPr>
              <w:t>一、评审内容 针对审核工作提出的可行性意见及建议； 二、评审标准 ①完整性：方案须全面，对评审内容中的各项要求有详细描述及说明； ②可实施性：切合本项目实际情况，实施步骤清晰、合理； ③针对性：方案能够紧扣项目实际情况，内容科学合理，有操作性。 三、赋分标准（满分9分） 每完全满足一项评审标准得3分，不满足得0分。满分9分。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保密工作方案</w:t>
            </w:r>
          </w:p>
        </w:tc>
        <w:tc>
          <w:tcPr>
            <w:tcW w:type="dxa" w:w="2492"/>
          </w:tcPr>
          <w:p>
            <w:pPr>
              <w:pStyle w:val="null3"/>
            </w:pPr>
            <w:r>
              <w:rPr>
                <w:rFonts w:ascii="仿宋_GB2312" w:hAnsi="仿宋_GB2312" w:cs="仿宋_GB2312" w:eastAsia="仿宋_GB2312"/>
              </w:rPr>
              <w:t>一、评审内容 针对本项目制定具体保密方案，内容包括：①保密防范措施；②泄密追责制度。 二、评审标准 ①可实施性：切合本项目实际情况，提出步骤清晰、合理的审核保密工作方案； ②针对性：能够紧扣项目实际情况，内容科学合理，有操作性。 三、赋分标准（满分8分） ①保密防范措施：每完全满足一项评审标准得2分，不满足得0分。满分4分； ②泄密追责制度：每完全满足一项评审标准得2分，不满足得0分。满分4分。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响应函</w:t>
            </w:r>
          </w:p>
        </w:tc>
      </w:tr>
      <w:tr>
        <w:tc>
          <w:tcPr>
            <w:tcW w:type="dxa" w:w="831"/>
            <w:vMerge/>
          </w:tcPr>
          <w:p/>
        </w:tc>
        <w:tc>
          <w:tcPr>
            <w:tcW w:type="dxa" w:w="1661"/>
          </w:tcPr>
          <w:p>
            <w:pPr>
              <w:pStyle w:val="null3"/>
            </w:pPr>
            <w:r>
              <w:rPr>
                <w:rFonts w:ascii="仿宋_GB2312" w:hAnsi="仿宋_GB2312" w:cs="仿宋_GB2312" w:eastAsia="仿宋_GB2312"/>
              </w:rPr>
              <w:t>廉洁从业方案</w:t>
            </w:r>
          </w:p>
        </w:tc>
        <w:tc>
          <w:tcPr>
            <w:tcW w:type="dxa" w:w="2492"/>
          </w:tcPr>
          <w:p>
            <w:pPr>
              <w:pStyle w:val="null3"/>
            </w:pPr>
            <w:r>
              <w:rPr>
                <w:rFonts w:ascii="仿宋_GB2312" w:hAnsi="仿宋_GB2312" w:cs="仿宋_GB2312" w:eastAsia="仿宋_GB2312"/>
              </w:rPr>
              <w:t>一、评审内容 针对本项目制定廉政从业方案。 二、评审标准 ①可实施性：切合本项目实际情况，提出步骤清晰、合理的方案； ②针对性：能够紧扣项目实际情况，内容科学合理，有操作性。 三、赋分标准（满分3分） 每完全满足一项评审标准得1.5分，不满足得0分。满分3分。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①人员到位情况②工作底稿准确规范性与成果文件一致性情况作出实质性承诺（应包含不能完全履行承诺时愿意接受相关处罚的承诺）。 三、评审标准 ①完整性：承诺内容须全面，对评审内容中的各项要求有详细描述； ②可实施性：切合本项目实际情况，提出步骤清晰、合理的方案； ③针对性：能够紧扣项目实际情况，内容科学合理，有操作性。 三、赋分标准（满分6分） ①人员到位情况：每完全满足一项评审标准得1分，不满足得0分。满分3分。②工作底稿准确规范性与成果文件一致性情况作出实质性承诺（应包含不能完全履行承诺时愿意接受相关处罚的承诺）：每完全满足一项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服务承诺书.docx</w:t>
            </w:r>
          </w:p>
        </w:tc>
      </w:tr>
      <w:tr>
        <w:tc>
          <w:tcPr>
            <w:tcW w:type="dxa" w:w="831"/>
            <w:vMerge/>
          </w:tcPr>
          <w:p/>
        </w:tc>
        <w:tc>
          <w:tcPr>
            <w:tcW w:type="dxa" w:w="1661"/>
          </w:tcPr>
          <w:p>
            <w:pPr>
              <w:pStyle w:val="null3"/>
            </w:pPr>
            <w:r>
              <w:rPr>
                <w:rFonts w:ascii="仿宋_GB2312" w:hAnsi="仿宋_GB2312" w:cs="仿宋_GB2312" w:eastAsia="仿宋_GB2312"/>
              </w:rPr>
              <w:t>项目团队要求</w:t>
            </w:r>
          </w:p>
        </w:tc>
        <w:tc>
          <w:tcPr>
            <w:tcW w:type="dxa" w:w="2492"/>
          </w:tcPr>
          <w:p>
            <w:pPr>
              <w:pStyle w:val="null3"/>
            </w:pPr>
            <w:r>
              <w:rPr>
                <w:rFonts w:ascii="仿宋_GB2312" w:hAnsi="仿宋_GB2312" w:cs="仿宋_GB2312" w:eastAsia="仿宋_GB2312"/>
              </w:rPr>
              <w:t>针对本项目需求组建项目团队。拟派项目团队人员（含项目负责人），具有一级注册造价工程师资格的且在本单位注册的在职人员,每有1名得1分，最多得8分；不提供不得分。拟派项目团队人员，具有高级工程师职称的,每有1名得1分，最高得2分；不提供不得分。（注：需提供相关证书并加盖公章，项目团队人员为本单位在职人员的证明材料包括但不限于投标截止日前六个月内任意一个月的社保缴纳证明或劳动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拟投入本项目的人员一览表.docx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提供2023年1月1日至今与本项目类似业绩，每提供一个得3分，满分得9分。注：须提供合同关键页复印件加盖公章，若为联合体投标，则联合体任一成员业绩均视为供应商业绩。</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磋商一览表.docx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的磋商报价最低的投标价为评标基准价，其价格分为满分。磋商报价得分=（评审基准价/磋商报价）×价格权值×100。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磋商一览表.docx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详见附件：一般资格条款.docx</w:t>
      </w:r>
    </w:p>
    <w:p>
      <w:pPr>
        <w:pStyle w:val="null3"/>
        <w:ind w:firstLine="960"/>
      </w:pPr>
      <w:r>
        <w:rPr>
          <w:rFonts w:ascii="仿宋_GB2312" w:hAnsi="仿宋_GB2312" w:cs="仿宋_GB2312" w:eastAsia="仿宋_GB2312"/>
        </w:rPr>
        <w:t>详见附件：特殊资格条款--法定代表人授权委托书.docx</w:t>
      </w:r>
    </w:p>
    <w:p>
      <w:pPr>
        <w:pStyle w:val="null3"/>
        <w:ind w:firstLine="960"/>
      </w:pPr>
      <w:r>
        <w:rPr>
          <w:rFonts w:ascii="仿宋_GB2312" w:hAnsi="仿宋_GB2312" w:cs="仿宋_GB2312" w:eastAsia="仿宋_GB2312"/>
        </w:rPr>
        <w:t>详见附件：特殊资格条款--项目负责人.docx</w:t>
      </w:r>
    </w:p>
    <w:p>
      <w:pPr>
        <w:pStyle w:val="null3"/>
        <w:ind w:firstLine="960"/>
      </w:pPr>
      <w:r>
        <w:rPr>
          <w:rFonts w:ascii="仿宋_GB2312" w:hAnsi="仿宋_GB2312" w:cs="仿宋_GB2312" w:eastAsia="仿宋_GB2312"/>
        </w:rPr>
        <w:t>详见附件：特殊资格条款--信用查询.docx</w:t>
      </w:r>
    </w:p>
    <w:p>
      <w:pPr>
        <w:pStyle w:val="null3"/>
        <w:ind w:firstLine="960"/>
      </w:pPr>
      <w:r>
        <w:rPr>
          <w:rFonts w:ascii="仿宋_GB2312" w:hAnsi="仿宋_GB2312" w:cs="仿宋_GB2312" w:eastAsia="仿宋_GB2312"/>
        </w:rPr>
        <w:t>详见附件：特殊资格条款-非联合体承诺.docx</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详见附件：拟投入本项目的人员一览表.docx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详见附件：供应商诚信承诺书.docx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