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版本号：SXLX-FW-2026-006.1B120260813001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体检服务项目(二次)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SXLX-FW-2026-006.1B1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体检服务项目(二次)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体检服务项目(二次)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本次项目采购拟对西安市中心血站2026年度全体员工进行健康体检，具体内容详见采购文件第三章。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并进行电子签章。</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p>
      <w:pPr>
        <w:pStyle w:val="null3"/>
      </w:pPr>
      <w:r>
        <w:rPr>
          <w:rFonts w:ascii="仿宋_GB2312" w:hAnsi="仿宋_GB2312" w:cs="仿宋_GB2312" w:eastAsia="仿宋_GB2312"/>
        </w:rPr>
        <w:t>3、税收缴纳证明：提供磋商截止时间前3个月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p>
      <w:pPr>
        <w:pStyle w:val="null3"/>
      </w:pPr>
      <w:r>
        <w:rPr>
          <w:rFonts w:ascii="仿宋_GB2312" w:hAnsi="仿宋_GB2312" w:cs="仿宋_GB2312" w:eastAsia="仿宋_GB2312"/>
        </w:rPr>
        <w:t>4、社会保障资金缴纳证明：提供磋商截止时间前3个月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p>
      <w:pPr>
        <w:pStyle w:val="null3"/>
      </w:pPr>
      <w:r>
        <w:rPr>
          <w:rFonts w:ascii="仿宋_GB2312" w:hAnsi="仿宋_GB2312" w:cs="仿宋_GB2312" w:eastAsia="仿宋_GB2312"/>
        </w:rPr>
        <w:t>5、能力书面声明：具有履行合同所必需的设备和专业技术能力的书面声明；</w:t>
      </w:r>
    </w:p>
    <w:p>
      <w:pPr>
        <w:pStyle w:val="null3"/>
      </w:pPr>
      <w:r>
        <w:rPr>
          <w:rFonts w:ascii="仿宋_GB2312" w:hAnsi="仿宋_GB2312" w:cs="仿宋_GB2312" w:eastAsia="仿宋_GB2312"/>
        </w:rPr>
        <w:t>6、无重大违法记录：近3年内在经营活动中没有重大违法记录的书面声明；</w:t>
      </w:r>
    </w:p>
    <w:p>
      <w:pPr>
        <w:pStyle w:val="null3"/>
      </w:pPr>
      <w:r>
        <w:rPr>
          <w:rFonts w:ascii="仿宋_GB2312" w:hAnsi="仿宋_GB2312" w:cs="仿宋_GB2312" w:eastAsia="仿宋_GB2312"/>
        </w:rPr>
        <w:t>7、供应商信用：供应商应在磋商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p>
      <w:pPr>
        <w:pStyle w:val="null3"/>
      </w:pPr>
      <w:r>
        <w:rPr>
          <w:rFonts w:ascii="仿宋_GB2312" w:hAnsi="仿宋_GB2312" w:cs="仿宋_GB2312" w:eastAsia="仿宋_GB2312"/>
        </w:rPr>
        <w:t>8、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9、承诺书1：供应商提供质量保证承诺书；</w:t>
      </w:r>
    </w:p>
    <w:p>
      <w:pPr>
        <w:pStyle w:val="null3"/>
      </w:pPr>
      <w:r>
        <w:rPr>
          <w:rFonts w:ascii="仿宋_GB2312" w:hAnsi="仿宋_GB2312" w:cs="仿宋_GB2312" w:eastAsia="仿宋_GB2312"/>
        </w:rPr>
        <w:t>10、承诺书2：供应商提供关联关系与廉洁承诺书；</w:t>
      </w:r>
    </w:p>
    <w:p>
      <w:pPr>
        <w:pStyle w:val="null3"/>
      </w:pPr>
      <w:r>
        <w:rPr>
          <w:rFonts w:ascii="仿宋_GB2312" w:hAnsi="仿宋_GB2312" w:cs="仿宋_GB2312" w:eastAsia="仿宋_GB2312"/>
        </w:rPr>
        <w:t>11、企业资质：供应商应具有卫生行政部门颁发的《医疗机构执业许可证》及《放射诊疗许可证》（诊疗科目中有开展健康体检服务的科目）；</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孔祥妍、张菲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及（发改办价格[2011]534号）的规定计费，由成交供应商一次性支付给陕西立信工程项目管理有限公司。 2、代理服务费缴纳账户： 户 名：陕西立信工程项目管理有限公司 账 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联系人：孔祥妍、张菲</w:t>
      </w:r>
    </w:p>
    <w:p>
      <w:pPr>
        <w:pStyle w:val="null3"/>
      </w:pPr>
      <w:r>
        <w:rPr>
          <w:rFonts w:ascii="仿宋_GB2312" w:hAnsi="仿宋_GB2312" w:cs="仿宋_GB2312" w:eastAsia="仿宋_GB2312"/>
        </w:rPr>
        <w:t>联系电话：029-029-87519950-809</w:t>
      </w:r>
    </w:p>
    <w:p>
      <w:pPr>
        <w:pStyle w:val="null3"/>
      </w:pPr>
      <w:r>
        <w:rPr>
          <w:rFonts w:ascii="仿宋_GB2312" w:hAnsi="仿宋_GB2312" w:cs="仿宋_GB2312" w:eastAsia="仿宋_GB2312"/>
        </w:rPr>
        <w:t>地址：陕西省西安市雁塔区陕西省西安市雁塔区太白南路39号金石柏朗大厦12层1201、1202、1205室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本次项目采购拟对西安市中心血站2026年度全体员工进行健康体检，具体内容详见采购文件。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拟对西安市中心血站</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年度全体员工进行健康体检。</w:t>
            </w:r>
          </w:p>
          <w:p>
            <w:pPr>
              <w:pStyle w:val="null3"/>
              <w:numPr>
                <w:ilvl w:val="0"/>
                <w:numId w:val="1"/>
              </w:numPr>
            </w:pPr>
            <w:r>
              <w:rPr>
                <w:rFonts w:ascii="仿宋_GB2312" w:hAnsi="仿宋_GB2312" w:cs="仿宋_GB2312" w:eastAsia="仿宋_GB2312"/>
                <w:sz w:val="20"/>
                <w:b/>
              </w:rPr>
              <w:t>服务内容</w:t>
            </w:r>
          </w:p>
          <w:p>
            <w:pPr>
              <w:pStyle w:val="null3"/>
            </w:pPr>
            <w:r>
              <w:rPr>
                <w:rFonts w:ascii="仿宋_GB2312" w:hAnsi="仿宋_GB2312" w:cs="仿宋_GB2312" w:eastAsia="仿宋_GB2312"/>
                <w:sz w:val="20"/>
              </w:rPr>
              <w:t>我单位本年度健康查体总人数</w:t>
            </w:r>
            <w:r>
              <w:rPr>
                <w:rFonts w:ascii="仿宋_GB2312" w:hAnsi="仿宋_GB2312" w:cs="仿宋_GB2312" w:eastAsia="仿宋_GB2312"/>
                <w:sz w:val="20"/>
              </w:rPr>
              <w:t>47</w:t>
            </w:r>
            <w:r>
              <w:rPr>
                <w:rFonts w:ascii="仿宋_GB2312" w:hAnsi="仿宋_GB2312" w:cs="仿宋_GB2312" w:eastAsia="仿宋_GB2312"/>
                <w:sz w:val="20"/>
              </w:rPr>
              <w:t>7</w:t>
            </w:r>
            <w:r>
              <w:rPr>
                <w:rFonts w:ascii="仿宋_GB2312" w:hAnsi="仿宋_GB2312" w:cs="仿宋_GB2312" w:eastAsia="仿宋_GB2312"/>
                <w:sz w:val="20"/>
              </w:rPr>
              <w:t>人。具体如下：</w:t>
            </w:r>
          </w:p>
          <w:p>
            <w:pPr>
              <w:pStyle w:val="null3"/>
            </w:pPr>
            <w:r>
              <w:rPr>
                <w:rFonts w:ascii="仿宋_GB2312" w:hAnsi="仿宋_GB2312" w:cs="仿宋_GB2312" w:eastAsia="仿宋_GB2312"/>
                <w:sz w:val="20"/>
              </w:rPr>
              <w:t>1.在职人数360人。</w:t>
            </w:r>
          </w:p>
          <w:p>
            <w:pPr>
              <w:pStyle w:val="null3"/>
            </w:pPr>
            <w:r>
              <w:rPr>
                <w:rFonts w:ascii="仿宋_GB2312" w:hAnsi="仿宋_GB2312" w:cs="仿宋_GB2312" w:eastAsia="仿宋_GB2312"/>
                <w:sz w:val="20"/>
              </w:rPr>
              <w:t>（</w:t>
            </w:r>
            <w:r>
              <w:rPr>
                <w:rFonts w:ascii="仿宋_GB2312" w:hAnsi="仿宋_GB2312" w:cs="仿宋_GB2312" w:eastAsia="仿宋_GB2312"/>
                <w:sz w:val="20"/>
              </w:rPr>
              <w:t>1）45岁以下260人，其中男性：48人，女性：212人；</w:t>
            </w:r>
          </w:p>
          <w:p>
            <w:pPr>
              <w:pStyle w:val="null3"/>
            </w:pPr>
            <w:r>
              <w:rPr>
                <w:rFonts w:ascii="仿宋_GB2312" w:hAnsi="仿宋_GB2312" w:cs="仿宋_GB2312" w:eastAsia="仿宋_GB2312"/>
                <w:sz w:val="20"/>
              </w:rPr>
              <w:t>（</w:t>
            </w:r>
            <w:r>
              <w:rPr>
                <w:rFonts w:ascii="仿宋_GB2312" w:hAnsi="仿宋_GB2312" w:cs="仿宋_GB2312" w:eastAsia="仿宋_GB2312"/>
                <w:sz w:val="20"/>
              </w:rPr>
              <w:t>2）45岁以上100人，其中男性：50人，女性：50人；</w:t>
            </w:r>
          </w:p>
          <w:p>
            <w:pPr>
              <w:pStyle w:val="null3"/>
            </w:pPr>
            <w:r>
              <w:rPr>
                <w:rFonts w:ascii="仿宋_GB2312" w:hAnsi="仿宋_GB2312" w:cs="仿宋_GB2312" w:eastAsia="仿宋_GB2312"/>
                <w:sz w:val="20"/>
              </w:rPr>
              <w:t>2.退休人数117人。</w:t>
            </w:r>
          </w:p>
          <w:p>
            <w:pPr>
              <w:pStyle w:val="null3"/>
            </w:pPr>
            <w:r>
              <w:rPr>
                <w:rFonts w:ascii="仿宋_GB2312" w:hAnsi="仿宋_GB2312" w:cs="仿宋_GB2312" w:eastAsia="仿宋_GB2312"/>
                <w:sz w:val="20"/>
              </w:rPr>
              <w:t>（</w:t>
            </w:r>
            <w:r>
              <w:rPr>
                <w:rFonts w:ascii="仿宋_GB2312" w:hAnsi="仿宋_GB2312" w:cs="仿宋_GB2312" w:eastAsia="仿宋_GB2312"/>
                <w:sz w:val="20"/>
              </w:rPr>
              <w:t>1）男性41人；</w:t>
            </w:r>
          </w:p>
          <w:p>
            <w:pPr>
              <w:pStyle w:val="null3"/>
            </w:pPr>
            <w:r>
              <w:rPr>
                <w:rFonts w:ascii="仿宋_GB2312" w:hAnsi="仿宋_GB2312" w:cs="仿宋_GB2312" w:eastAsia="仿宋_GB2312"/>
                <w:sz w:val="20"/>
              </w:rPr>
              <w:t>（</w:t>
            </w:r>
            <w:r>
              <w:rPr>
                <w:rFonts w:ascii="仿宋_GB2312" w:hAnsi="仿宋_GB2312" w:cs="仿宋_GB2312" w:eastAsia="仿宋_GB2312"/>
                <w:sz w:val="20"/>
              </w:rPr>
              <w:t>2）女性76人。</w:t>
            </w:r>
          </w:p>
          <w:p>
            <w:pPr>
              <w:pStyle w:val="null3"/>
            </w:pPr>
            <w:r>
              <w:rPr>
                <w:rFonts w:ascii="仿宋_GB2312" w:hAnsi="仿宋_GB2312" w:cs="仿宋_GB2312" w:eastAsia="仿宋_GB2312"/>
                <w:sz w:val="20"/>
                <w:b/>
              </w:rPr>
              <w:t>三、技术要求</w:t>
            </w:r>
          </w:p>
          <w:p>
            <w:pPr>
              <w:pStyle w:val="null3"/>
            </w:pPr>
            <w:r>
              <w:rPr>
                <w:rFonts w:ascii="仿宋_GB2312" w:hAnsi="仿宋_GB2312" w:cs="仿宋_GB2312" w:eastAsia="仿宋_GB2312"/>
                <w:sz w:val="20"/>
              </w:rPr>
              <w:t>体检项目：</w:t>
            </w:r>
          </w:p>
          <w:p>
            <w:pPr>
              <w:pStyle w:val="null3"/>
            </w:pPr>
            <w:r>
              <w:rPr>
                <w:rFonts w:ascii="仿宋_GB2312" w:hAnsi="仿宋_GB2312" w:cs="仿宋_GB2312" w:eastAsia="仿宋_GB2312"/>
                <w:sz w:val="20"/>
              </w:rPr>
              <w:t>(1)基础体检项目：物理查体（内科、外科、眼科、耳鼻喉）、血常规、尿常规、肝功能9项、肾功能三项、血脂四项、血糖、乙肝五项定性、丙肝抗体、艾滋抗体、梅毒抗体、胸部正位片、甲状腺彩超、心电图、；</w:t>
            </w:r>
          </w:p>
          <w:p>
            <w:pPr>
              <w:pStyle w:val="null3"/>
            </w:pPr>
            <w:r>
              <w:rPr>
                <w:rFonts w:ascii="仿宋_GB2312" w:hAnsi="仿宋_GB2312" w:cs="仿宋_GB2312" w:eastAsia="仿宋_GB2312"/>
                <w:sz w:val="20"/>
              </w:rPr>
              <w:t>(2)男性：腹部B超（肝胆胰脾肾膀胱前列腺）；</w:t>
            </w:r>
          </w:p>
          <w:p>
            <w:pPr>
              <w:pStyle w:val="null3"/>
            </w:pPr>
            <w:r>
              <w:rPr>
                <w:rFonts w:ascii="仿宋_GB2312" w:hAnsi="仿宋_GB2312" w:cs="仿宋_GB2312" w:eastAsia="仿宋_GB2312"/>
                <w:sz w:val="20"/>
              </w:rPr>
              <w:t>(3)女性：腹部B超（肝胆胰脾肾膀胱子宫附件）、乳腺彩超、妇科常规检查（已婚）；</w:t>
            </w:r>
          </w:p>
          <w:p>
            <w:pPr>
              <w:pStyle w:val="null3"/>
            </w:pPr>
            <w:r>
              <w:rPr>
                <w:rFonts w:ascii="仿宋_GB2312" w:hAnsi="仿宋_GB2312" w:cs="仿宋_GB2312" w:eastAsia="仿宋_GB2312"/>
                <w:sz w:val="20"/>
              </w:rPr>
              <w:t>(4) 45岁以上男女：甲胎蛋白、癌胚抗原；</w:t>
            </w:r>
          </w:p>
          <w:p>
            <w:pPr>
              <w:pStyle w:val="null3"/>
            </w:pPr>
            <w:r>
              <w:rPr>
                <w:rFonts w:ascii="仿宋_GB2312" w:hAnsi="仿宋_GB2312" w:cs="仿宋_GB2312" w:eastAsia="仿宋_GB2312"/>
                <w:sz w:val="20"/>
              </w:rPr>
              <w:t>(5) 离退休人员不查</w:t>
            </w:r>
            <w:r>
              <w:rPr>
                <w:rFonts w:ascii="仿宋_GB2312" w:hAnsi="仿宋_GB2312" w:cs="仿宋_GB2312" w:eastAsia="仿宋_GB2312"/>
                <w:sz w:val="20"/>
              </w:rPr>
              <w:t>乙肝、</w:t>
            </w:r>
            <w:r>
              <w:rPr>
                <w:rFonts w:ascii="仿宋_GB2312" w:hAnsi="仿宋_GB2312" w:cs="仿宋_GB2312" w:eastAsia="仿宋_GB2312"/>
                <w:sz w:val="20"/>
              </w:rPr>
              <w:t>丙肝抗体、艾滋抗体及梅毒抗体。</w:t>
            </w:r>
          </w:p>
          <w:p>
            <w:pPr>
              <w:pStyle w:val="null3"/>
            </w:pPr>
            <w:r>
              <w:rPr>
                <w:rFonts w:ascii="仿宋_GB2312" w:hAnsi="仿宋_GB2312" w:cs="仿宋_GB2312" w:eastAsia="仿宋_GB2312"/>
                <w:sz w:val="20"/>
                <w:b/>
              </w:rPr>
              <w:t>四、服务要求</w:t>
            </w:r>
          </w:p>
          <w:p>
            <w:pPr>
              <w:pStyle w:val="null3"/>
            </w:pPr>
            <w:r>
              <w:rPr>
                <w:rFonts w:ascii="仿宋_GB2312" w:hAnsi="仿宋_GB2312" w:cs="仿宋_GB2312" w:eastAsia="仿宋_GB2312"/>
                <w:sz w:val="20"/>
              </w:rPr>
              <w:t>（一）人员配置：</w:t>
            </w:r>
          </w:p>
          <w:p>
            <w:pPr>
              <w:pStyle w:val="null3"/>
            </w:pPr>
            <w:r>
              <w:rPr>
                <w:rFonts w:ascii="仿宋_GB2312" w:hAnsi="仿宋_GB2312" w:cs="仿宋_GB2312" w:eastAsia="仿宋_GB2312"/>
                <w:sz w:val="20"/>
              </w:rPr>
              <w:t>要求服务对象的医师团队内中级及以上职称人员占医师团队总人数</w:t>
            </w:r>
            <w:r>
              <w:rPr>
                <w:rFonts w:ascii="仿宋_GB2312" w:hAnsi="仿宋_GB2312" w:cs="仿宋_GB2312" w:eastAsia="仿宋_GB2312"/>
                <w:sz w:val="20"/>
              </w:rPr>
              <w:t>80%。</w:t>
            </w:r>
          </w:p>
          <w:p>
            <w:pPr>
              <w:pStyle w:val="null3"/>
            </w:pPr>
            <w:r>
              <w:rPr>
                <w:rFonts w:ascii="仿宋_GB2312" w:hAnsi="仿宋_GB2312" w:cs="仿宋_GB2312" w:eastAsia="仿宋_GB2312"/>
                <w:sz w:val="20"/>
              </w:rPr>
              <w:t>（二）专业设备：</w:t>
            </w:r>
          </w:p>
          <w:p>
            <w:pPr>
              <w:pStyle w:val="null3"/>
            </w:pPr>
            <w:r>
              <w:rPr>
                <w:rFonts w:ascii="仿宋_GB2312" w:hAnsi="仿宋_GB2312" w:cs="仿宋_GB2312" w:eastAsia="仿宋_GB2312"/>
                <w:sz w:val="20"/>
              </w:rPr>
              <w:t>具备各项相关体检项目的专业设备。</w:t>
            </w:r>
          </w:p>
          <w:p>
            <w:pPr>
              <w:pStyle w:val="null3"/>
            </w:pPr>
            <w:r>
              <w:rPr>
                <w:rFonts w:ascii="仿宋_GB2312" w:hAnsi="仿宋_GB2312" w:cs="仿宋_GB2312" w:eastAsia="仿宋_GB2312"/>
                <w:sz w:val="20"/>
              </w:rPr>
              <w:t>（三）服务标准：</w:t>
            </w:r>
          </w:p>
          <w:p>
            <w:pPr>
              <w:pStyle w:val="null3"/>
            </w:pPr>
            <w:r>
              <w:rPr>
                <w:rFonts w:ascii="仿宋_GB2312" w:hAnsi="仿宋_GB2312" w:cs="仿宋_GB2312" w:eastAsia="仿宋_GB2312"/>
                <w:sz w:val="20"/>
              </w:rPr>
              <w:t>①提供专场体检服务且满足每日至少体检100人以上的要求。</w:t>
            </w:r>
          </w:p>
          <w:p>
            <w:pPr>
              <w:pStyle w:val="null3"/>
            </w:pPr>
            <w:r>
              <w:rPr>
                <w:rFonts w:ascii="仿宋_GB2312" w:hAnsi="仿宋_GB2312" w:cs="仿宋_GB2312" w:eastAsia="仿宋_GB2312"/>
                <w:sz w:val="20"/>
              </w:rPr>
              <w:t>②提供专场服务和高质量营养早餐；</w:t>
            </w:r>
          </w:p>
          <w:p>
            <w:pPr>
              <w:pStyle w:val="null3"/>
            </w:pPr>
            <w:r>
              <w:rPr>
                <w:rFonts w:ascii="仿宋_GB2312" w:hAnsi="仿宋_GB2312" w:cs="仿宋_GB2312" w:eastAsia="仿宋_GB2312"/>
                <w:sz w:val="20"/>
              </w:rPr>
              <w:t>③体检地点在成交的体检机构。</w:t>
            </w:r>
          </w:p>
          <w:p>
            <w:pPr>
              <w:pStyle w:val="null3"/>
            </w:pPr>
            <w:r>
              <w:rPr>
                <w:rFonts w:ascii="仿宋_GB2312" w:hAnsi="仿宋_GB2312" w:cs="仿宋_GB2312" w:eastAsia="仿宋_GB2312"/>
                <w:sz w:val="20"/>
                <w:b/>
              </w:rPr>
              <w:t>五、</w:t>
            </w:r>
            <w:r>
              <w:rPr>
                <w:rFonts w:ascii="仿宋_GB2312" w:hAnsi="仿宋_GB2312" w:cs="仿宋_GB2312" w:eastAsia="仿宋_GB2312"/>
                <w:sz w:val="20"/>
                <w:b/>
              </w:rPr>
              <w:t>商务要求</w:t>
            </w:r>
          </w:p>
          <w:p>
            <w:pPr>
              <w:pStyle w:val="null3"/>
            </w:pPr>
            <w:r>
              <w:rPr>
                <w:rFonts w:ascii="仿宋_GB2312" w:hAnsi="仿宋_GB2312" w:cs="仿宋_GB2312" w:eastAsia="仿宋_GB2312"/>
                <w:sz w:val="20"/>
              </w:rPr>
              <w:t>（一）服务期限</w:t>
            </w:r>
          </w:p>
          <w:p>
            <w:pPr>
              <w:pStyle w:val="null3"/>
            </w:pPr>
            <w:r>
              <w:rPr>
                <w:rFonts w:ascii="仿宋_GB2312" w:hAnsi="仿宋_GB2312" w:cs="仿宋_GB2312" w:eastAsia="仿宋_GB2312"/>
                <w:sz w:val="20"/>
              </w:rPr>
              <w:t>自签订合同之日起至</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11月30日前完成全员健康查体工作。</w:t>
            </w:r>
          </w:p>
          <w:p>
            <w:pPr>
              <w:pStyle w:val="null3"/>
            </w:pPr>
            <w:r>
              <w:rPr>
                <w:rFonts w:ascii="仿宋_GB2312" w:hAnsi="仿宋_GB2312" w:cs="仿宋_GB2312" w:eastAsia="仿宋_GB2312"/>
                <w:sz w:val="20"/>
              </w:rPr>
              <w:t>（二）款项结算</w:t>
            </w:r>
          </w:p>
          <w:p>
            <w:pPr>
              <w:pStyle w:val="null3"/>
            </w:pPr>
            <w:r>
              <w:rPr>
                <w:rFonts w:ascii="仿宋_GB2312" w:hAnsi="仿宋_GB2312" w:cs="仿宋_GB2312" w:eastAsia="仿宋_GB2312"/>
                <w:sz w:val="20"/>
              </w:rPr>
              <w:t>一次性付清。费用以中标价为准按实际体检人数结算。甲方体检结束后，按实际查体的人数向乙方一次性付清体检费用。乙方应在合同约定的体检时间到期后，持成交通知书、服务合同、正式发票等，与甲方结算体检费用。</w:t>
            </w:r>
            <w:r>
              <w:rPr>
                <w:rFonts w:ascii="仿宋_GB2312" w:hAnsi="仿宋_GB2312" w:cs="仿宋_GB2312" w:eastAsia="仿宋_GB2312"/>
                <w:sz w:val="20"/>
              </w:rPr>
              <w:t>甲方收到上述结算文件后</w:t>
            </w:r>
            <w:r>
              <w:rPr>
                <w:rFonts w:ascii="仿宋_GB2312" w:hAnsi="仿宋_GB2312" w:cs="仿宋_GB2312" w:eastAsia="仿宋_GB2312"/>
                <w:sz w:val="20"/>
              </w:rPr>
              <w:t>30日内支付款项。</w:t>
            </w:r>
          </w:p>
          <w:p>
            <w:pPr>
              <w:pStyle w:val="null3"/>
            </w:pPr>
            <w:r>
              <w:rPr>
                <w:rFonts w:ascii="仿宋_GB2312" w:hAnsi="仿宋_GB2312" w:cs="仿宋_GB2312" w:eastAsia="仿宋_GB2312"/>
                <w:sz w:val="20"/>
                <w:b/>
              </w:rPr>
              <w:t>六、</w:t>
            </w:r>
            <w:r>
              <w:rPr>
                <w:rFonts w:ascii="仿宋_GB2312" w:hAnsi="仿宋_GB2312" w:cs="仿宋_GB2312" w:eastAsia="仿宋_GB2312"/>
                <w:sz w:val="20"/>
                <w:b/>
              </w:rPr>
              <w:t>其他</w:t>
            </w:r>
          </w:p>
          <w:p>
            <w:pPr>
              <w:pStyle w:val="null3"/>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）进度要求</w:t>
            </w:r>
          </w:p>
          <w:p>
            <w:pPr>
              <w:pStyle w:val="null3"/>
            </w:pP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11月30日前完成全员健康查体工作。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）成果交付要求</w:t>
            </w:r>
          </w:p>
          <w:p>
            <w:pPr>
              <w:pStyle w:val="null3"/>
            </w:pPr>
            <w:r>
              <w:rPr>
                <w:rFonts w:ascii="仿宋_GB2312" w:hAnsi="仿宋_GB2312" w:cs="仿宋_GB2312" w:eastAsia="仿宋_GB2312"/>
                <w:sz w:val="20"/>
              </w:rPr>
              <w:t>每个人</w:t>
            </w:r>
            <w:r>
              <w:rPr>
                <w:rFonts w:ascii="仿宋_GB2312" w:hAnsi="仿宋_GB2312" w:cs="仿宋_GB2312" w:eastAsia="仿宋_GB2312"/>
                <w:sz w:val="20"/>
              </w:rPr>
              <w:t>1份纸质版体检报告，可以查看电子版体检报告。</w:t>
            </w:r>
          </w:p>
          <w:p>
            <w:pPr>
              <w:pStyle w:val="null3"/>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）质量验收标准或规范</w:t>
            </w:r>
          </w:p>
          <w:p>
            <w:pPr>
              <w:pStyle w:val="null3"/>
            </w:pPr>
            <w:r>
              <w:rPr>
                <w:rFonts w:ascii="仿宋_GB2312" w:hAnsi="仿宋_GB2312" w:cs="仿宋_GB2312" w:eastAsia="仿宋_GB2312"/>
                <w:sz w:val="20"/>
              </w:rPr>
              <w:t>体检场所符合《医院消毒卫生标准》（</w:t>
            </w:r>
            <w:r>
              <w:rPr>
                <w:rFonts w:ascii="仿宋_GB2312" w:hAnsi="仿宋_GB2312" w:cs="仿宋_GB2312" w:eastAsia="仿宋_GB2312"/>
                <w:sz w:val="20"/>
              </w:rPr>
              <w:t>GB15982）中Ⅲ类环境的消毒卫生标准。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）违约责任</w:t>
            </w:r>
          </w:p>
          <w:p>
            <w:pPr>
              <w:pStyle w:val="null3"/>
            </w:pPr>
            <w:r>
              <w:rPr>
                <w:rFonts w:ascii="仿宋_GB2312" w:hAnsi="仿宋_GB2312" w:cs="仿宋_GB2312" w:eastAsia="仿宋_GB2312"/>
                <w:sz w:val="20"/>
              </w:rPr>
              <w:t>一般与合同款项的支付相关，注意不要超出《民法典》中对于违约的责任上限。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自签订合同之日起至2026年11月30日前完成全员健康查体工作。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体检场所符合《医院消毒卫生标准》（GB15982）中Ⅲ类环境的消毒卫生标准。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费用以中标价为准按实际体检人数结算。甲方体检结束后，按实际查体的人数向乙方一次性付清体检费用。乙方应在合同约定的体检时间到期后，持成交通知书、服务合同、正式发票等，与甲方结算体检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2、磋商时无需提供纸质响应文件， 成交供应商在领取成交通知书时提供纸质响应文件三份（一正两副），纸质版文件须是电子化交易平台系统生成的响应文件。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具有独立承担民事责任能力的法人、其他组织或自然人，提供合法有效的统一社会信用代码营业执照（事业单位提供事业单位法人证书，自然人应提供身份证）；并进行电子签章。</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3个月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3个月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能力书面声明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应在磋商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承诺书1</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承诺书2</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供应商应具有卫生行政部门颁发的《医疗机构执业许可证》及《放射诊疗许可证》（诊疗科目中有开展健康体检服务的科目）；</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供应商应提供的相关资格证明材料.docx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磋商报价不超过采购预算及最高限价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服务内容及服务邀请应答表.docx 商务应答表.docx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供应商应提供的相关资格证明材料.docx 供应商廉洁自律承诺书.docx 供应商认为有必要补充说明的事项.docx 中小企业声明函 残疾人福利性单位声明函 标的清单 服务内容及服务邀请应答表.docx 商务应答表.docx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响应文件对付款、服务期限、合同条款等商务要求进行响应，完全响应计2分，负偏离每项扣1分，扣完为止。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供应商具有同类项目业绩，提供合同复印件或中标通知书加盖公章，每提供一份得2分，满分10分。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针对本项目提供体检报告及保密措施，包括①参检人员所有信息数据保密方案；②体检结果保密措施。 以上2项内容每一项内容全面详细、阐述条理清晰得5分，满分10分，每有一项存在一处缺陷，扣0.5分，扣完为止。 备注：缺陷是指内容不合理、虽有内容但不完善、内容表述前后不一致、套用其他项目方案或与项目需求不匹配及其他不利于项目实施的等任意一种情形。其他未提供的不得分。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供应商可根据体检报告中出现的异常指标出具详细的方案包括①专业意见②治疗方案。 以上2项内容每一项内容全面详细、阐述条理清晰得5分，满分10分，每有一项存在一处缺陷，扣0.5分，扣完为止。 备注：缺陷是指内容不合理、虽有内容但不完善、内容表述前后不一致、套用其他项目方案或与项目需求不匹配及其他不利于项目实施的等任意一种情形。其他未提供的不得分。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绿色就医通道</w:t>
            </w:r>
          </w:p>
        </w:tc>
        <w:tc>
          <w:tcPr>
            <w:tcW w:type="dxa" w:w="2492"/>
          </w:tcPr>
          <w:p>
            <w:pPr>
              <w:pStyle w:val="null3"/>
            </w:pPr>
            <w:r>
              <w:rPr>
                <w:rFonts w:ascii="仿宋_GB2312" w:hAnsi="仿宋_GB2312" w:cs="仿宋_GB2312" w:eastAsia="仿宋_GB2312"/>
              </w:rPr>
              <w:t>针对本项目供应商提供绿色就医通道方案包括①后续的绿色就医通道，必要时可提供导医导诊等需求②保障讲座及绿色就医服务。以上2项内容每一项内容全面详细、阐述条理清晰得3分，满分6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针对本项目供应商能够提供其他服务方案包括①为体检人员提供早餐、健康咨询②其他服务。以上2项内容每一项内容全面详细、阐述条理清晰得1.5分，满分3分，每有一项存在一处缺陷，扣0.5分，扣完为止。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体检信息化服务</w:t>
            </w:r>
          </w:p>
        </w:tc>
        <w:tc>
          <w:tcPr>
            <w:tcW w:type="dxa" w:w="2492"/>
          </w:tcPr>
          <w:p>
            <w:pPr>
              <w:pStyle w:val="null3"/>
            </w:pPr>
            <w:r>
              <w:rPr>
                <w:rFonts w:ascii="仿宋_GB2312" w:hAnsi="仿宋_GB2312" w:cs="仿宋_GB2312" w:eastAsia="仿宋_GB2312"/>
              </w:rPr>
              <w:t>针对本项目供应商能够提供体检信息化服务方案包括①在检前、检中、检后全程提供智能化的体检信息服务，如电子信息录入系统、智能导检系统、智能叫号系统、健康档案管理系统②在线查询体检报告等系统服务。以上2项内容每一项内容全面详细、阐述条理清晰得3分，满分6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须提供针对本项目的应急处理措施及解决方案包括①体检者因血糖、血压引起的身体不适或其他的应对处理方案②供应商仪器故障或因其他人力不可抗拒因素，导致未能按时出具检测报告的补救措施。以上2项内容每一项内容全面详细、阐述条理清晰得2.5分，满分5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供应商在本地有体检服务点：具备独立的体检场所、具体地址、交通便利情况（公交或地铁换乘方便）、面积、环境；提供现场照片等证明材料、提供得2分，未提供得0分。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体检设备</w:t>
            </w:r>
          </w:p>
        </w:tc>
        <w:tc>
          <w:tcPr>
            <w:tcW w:type="dxa" w:w="2492"/>
          </w:tcPr>
          <w:p>
            <w:pPr>
              <w:pStyle w:val="null3"/>
            </w:pPr>
            <w:r>
              <w:rPr>
                <w:rFonts w:ascii="仿宋_GB2312" w:hAnsi="仿宋_GB2312" w:cs="仿宋_GB2312" w:eastAsia="仿宋_GB2312"/>
              </w:rPr>
              <w:t>1.供应商具有以下全部核心设备：DR影像机、全自动生化分析仪、彩色超声设备、幽门螺杆菌检测仪。设备齐全，且提供的证明材料完整，每有1台得2.5分，满分为10分。 2.供应商具有1-3台彩超机的，得3分；具有4-6台彩超机的，得4分；具有7-10台彩超机的，得5分；满分为5分。 注：响应文件中提供现场照片、购置凭证、发票或长期稳定租赁协议等证明材料。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体检医务人员配置情况</w:t>
            </w:r>
          </w:p>
        </w:tc>
        <w:tc>
          <w:tcPr>
            <w:tcW w:type="dxa" w:w="2492"/>
          </w:tcPr>
          <w:p>
            <w:pPr>
              <w:pStyle w:val="null3"/>
            </w:pPr>
            <w:r>
              <w:rPr>
                <w:rFonts w:ascii="仿宋_GB2312" w:hAnsi="仿宋_GB2312" w:cs="仿宋_GB2312" w:eastAsia="仿宋_GB2312"/>
              </w:rPr>
              <w:t>1.供应商拟为本项目准备的相关各科室（内科、外科、妇科、 医学影像科）配备具有技术职称的医务人员，每1个科室具有高级职称医务人员得3分；具有中级职称医务人员得1分，其余不得分，本项满分12分； 2.体检现场的咨询专家具有正高级职称（主任医师）资格的，每配备1人得3分；具有副高级职称（副主任医师）职称资格的，每配备1人得2分，其余不得分，本项满分9分。 注：（1）响应文件中须提供人员岗位名单、执业证书及职称证书扫描件； （2）供应商为本项目配备的医务人员执业地点须为供应商单位并按时注册，所提供的体检项目医务人员和咨询专家不能重复计分，医务人员的工作内容应与专业资质相一致。</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1.经资格审查、符合性审查合格的响应⽂件，其投标报价为有效投标报价，对符合政策 性扣减的供应商的有效投标价格进⾏政策性扣减，并依据扣减后的价格（评审价格）进 ⾏价格评审。 2.满⾜招标⽂件要求且投标报价最低的为评标基准价，其价格分为满分。 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详见附件：供应商应提供的相关资格证明材料.docx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