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EBEB7">
      <w:pPr>
        <w:spacing w:line="360" w:lineRule="auto"/>
        <w:jc w:val="center"/>
        <w:rPr>
          <w:rFonts w:hint="eastAsia" w:ascii="CESI小标宋-GB2312" w:hAnsi="CESI小标宋-GB2312" w:eastAsia="CESI小标宋-GB2312" w:cs="CESI小标宋-GB2312"/>
          <w:sz w:val="30"/>
          <w:szCs w:val="30"/>
        </w:rPr>
      </w:pPr>
      <w:r>
        <w:rPr>
          <w:rFonts w:hint="eastAsia" w:ascii="CESI小标宋-GB2312" w:hAnsi="CESI小标宋-GB2312" w:eastAsia="CESI小标宋-GB2312" w:cs="CESI小标宋-GB2312"/>
          <w:sz w:val="30"/>
          <w:szCs w:val="30"/>
          <w:lang w:eastAsia="zh-CN"/>
        </w:rPr>
        <w:t>西安市中心血站</w:t>
      </w:r>
      <w:r>
        <w:rPr>
          <w:rFonts w:hint="eastAsia" w:ascii="CESI小标宋-GB2312" w:hAnsi="CESI小标宋-GB2312" w:eastAsia="CESI小标宋-GB2312" w:cs="CESI小标宋-GB2312"/>
          <w:sz w:val="30"/>
          <w:szCs w:val="30"/>
          <w:lang w:val="en-US" w:eastAsia="zh-CN"/>
        </w:rPr>
        <w:t>体检</w:t>
      </w:r>
      <w:r>
        <w:rPr>
          <w:rFonts w:hint="eastAsia" w:ascii="CESI小标宋-GB2312" w:hAnsi="CESI小标宋-GB2312" w:eastAsia="CESI小标宋-GB2312" w:cs="CESI小标宋-GB2312"/>
          <w:sz w:val="30"/>
          <w:szCs w:val="30"/>
        </w:rPr>
        <w:t>服务合同</w:t>
      </w:r>
    </w:p>
    <w:p w14:paraId="6AECFAA7">
      <w:pPr>
        <w:adjustRightInd w:val="0"/>
        <w:snapToGrid w:val="0"/>
        <w:spacing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甲方:西安市中心血站</w:t>
      </w:r>
    </w:p>
    <w:p w14:paraId="1DF39E97">
      <w:pPr>
        <w:adjustRightInd w:val="0"/>
        <w:snapToGrid w:val="0"/>
        <w:spacing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乙方：            </w:t>
      </w:r>
    </w:p>
    <w:p w14:paraId="3F2585B4">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陕西立信工程项目管理有限公司</w:t>
      </w:r>
      <w:r>
        <w:rPr>
          <w:rFonts w:hint="eastAsia" w:ascii="宋体" w:hAnsi="宋体" w:eastAsia="宋体" w:cs="宋体"/>
          <w:sz w:val="24"/>
          <w:szCs w:val="24"/>
        </w:rPr>
        <w:t>就甲方所需服务，按照政府采购程序组织竞争性磋商，确定乙方为</w:t>
      </w:r>
      <w:r>
        <w:rPr>
          <w:rFonts w:hint="eastAsia" w:ascii="宋体" w:hAnsi="宋体" w:eastAsia="宋体" w:cs="宋体"/>
          <w:sz w:val="24"/>
          <w:szCs w:val="24"/>
          <w:lang w:eastAsia="zh-CN" w:bidi="ar-SA"/>
        </w:rPr>
        <w:t>西安市中心</w:t>
      </w:r>
      <w:r>
        <w:rPr>
          <w:rFonts w:hint="eastAsia" w:ascii="宋体" w:hAnsi="宋体" w:cs="宋体"/>
          <w:sz w:val="24"/>
          <w:szCs w:val="24"/>
          <w:lang w:val="en-US" w:eastAsia="zh-CN" w:bidi="ar-SA"/>
        </w:rPr>
        <w:t>血站体检服务</w:t>
      </w:r>
      <w:r>
        <w:rPr>
          <w:rFonts w:hint="eastAsia" w:ascii="宋体" w:hAnsi="宋体" w:eastAsia="宋体" w:cs="宋体"/>
          <w:sz w:val="24"/>
          <w:szCs w:val="24"/>
          <w:lang w:eastAsia="zh-CN" w:bidi="ar-SA"/>
        </w:rPr>
        <w:t>项目</w:t>
      </w:r>
      <w:r>
        <w:rPr>
          <w:rFonts w:hint="eastAsia" w:ascii="宋体" w:hAnsi="宋体" w:eastAsia="宋体" w:cs="宋体"/>
          <w:sz w:val="24"/>
          <w:szCs w:val="24"/>
        </w:rPr>
        <w:t>（项目编号：</w:t>
      </w:r>
      <w:r>
        <w:rPr>
          <w:rFonts w:hint="eastAsia" w:ascii="宋体" w:hAnsi="宋体" w:eastAsia="宋体" w:cs="宋体"/>
          <w:kern w:val="0"/>
          <w:sz w:val="24"/>
          <w:szCs w:val="24"/>
          <w:lang w:eastAsia="zh-CN"/>
        </w:rPr>
        <w:t>SXLX-FW-2026-006</w:t>
      </w:r>
      <w:r>
        <w:rPr>
          <w:rFonts w:hint="eastAsia" w:ascii="宋体" w:hAnsi="宋体" w:eastAsia="宋体" w:cs="宋体"/>
          <w:kern w:val="0"/>
          <w:sz w:val="24"/>
          <w:szCs w:val="24"/>
        </w:rPr>
        <w:t>）成交供应商。依据</w:t>
      </w:r>
      <w:r>
        <w:rPr>
          <w:rFonts w:hint="eastAsia" w:ascii="宋体" w:hAnsi="宋体" w:eastAsia="宋体" w:cs="宋体"/>
          <w:sz w:val="24"/>
          <w:szCs w:val="24"/>
        </w:rPr>
        <w:t>《中华人民共和国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w:t>
      </w:r>
      <w:r>
        <w:rPr>
          <w:rFonts w:hint="eastAsia" w:ascii="宋体" w:hAnsi="宋体" w:cs="宋体"/>
          <w:sz w:val="24"/>
          <w:szCs w:val="24"/>
          <w:lang w:val="en-US" w:eastAsia="zh-CN"/>
        </w:rPr>
        <w:t>及相关法律法规规定，</w:t>
      </w:r>
      <w:r>
        <w:rPr>
          <w:rFonts w:hint="eastAsia" w:ascii="宋体" w:hAnsi="宋体" w:eastAsia="宋体" w:cs="宋体"/>
          <w:sz w:val="24"/>
          <w:szCs w:val="24"/>
        </w:rPr>
        <w:t>以及磋</w:t>
      </w:r>
      <w:bookmarkStart w:id="0" w:name="_GoBack"/>
      <w:bookmarkEnd w:id="0"/>
      <w:r>
        <w:rPr>
          <w:rFonts w:hint="eastAsia" w:ascii="宋体" w:hAnsi="宋体" w:eastAsia="宋体" w:cs="宋体"/>
          <w:sz w:val="24"/>
          <w:szCs w:val="24"/>
        </w:rPr>
        <w:t>商文件、成交通知书</w:t>
      </w:r>
      <w:r>
        <w:rPr>
          <w:rFonts w:hint="eastAsia" w:ascii="宋体" w:hAnsi="宋体" w:cs="宋体"/>
          <w:sz w:val="24"/>
          <w:szCs w:val="24"/>
          <w:lang w:val="en-US" w:eastAsia="zh-CN"/>
        </w:rPr>
        <w:t>的约定</w:t>
      </w:r>
      <w:r>
        <w:rPr>
          <w:rFonts w:hint="eastAsia" w:ascii="宋体" w:hAnsi="宋体" w:eastAsia="宋体" w:cs="宋体"/>
          <w:sz w:val="24"/>
          <w:szCs w:val="24"/>
        </w:rPr>
        <w:t>，经双方充分、友好协商，达成如下合同条款。</w:t>
      </w:r>
    </w:p>
    <w:p w14:paraId="6ED0F3FD">
      <w:pPr>
        <w:tabs>
          <w:tab w:val="left" w:pos="480"/>
        </w:tabs>
        <w:spacing w:line="480" w:lineRule="exact"/>
        <w:ind w:firstLine="482" w:firstLineChars="200"/>
        <w:outlineLvl w:val="0"/>
        <w:rPr>
          <w:rFonts w:hint="eastAsia" w:ascii="宋体" w:hAnsi="宋体" w:eastAsia="宋体" w:cs="宋体"/>
          <w:kern w:val="0"/>
          <w:sz w:val="24"/>
          <w:szCs w:val="24"/>
        </w:rPr>
      </w:pPr>
      <w:r>
        <w:rPr>
          <w:rFonts w:hint="eastAsia" w:ascii="宋体" w:hAnsi="宋体" w:eastAsia="宋体" w:cs="宋体"/>
          <w:b/>
          <w:bCs/>
          <w:kern w:val="0"/>
          <w:sz w:val="24"/>
          <w:szCs w:val="24"/>
        </w:rPr>
        <w:t>一、合同标的物内容及数量</w:t>
      </w:r>
      <w:r>
        <w:rPr>
          <w:rFonts w:hint="eastAsia" w:ascii="宋体" w:hAnsi="宋体" w:eastAsia="宋体" w:cs="宋体"/>
          <w:kern w:val="0"/>
          <w:sz w:val="24"/>
          <w:szCs w:val="24"/>
        </w:rPr>
        <w:t>（以响应文件正本和澄清表〈函〉为准）</w:t>
      </w:r>
    </w:p>
    <w:tbl>
      <w:tblPr>
        <w:tblStyle w:val="6"/>
        <w:tblW w:w="8670"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5"/>
        <w:gridCol w:w="2072"/>
        <w:gridCol w:w="1481"/>
        <w:gridCol w:w="2092"/>
      </w:tblGrid>
      <w:tr w14:paraId="5814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exact"/>
        </w:trPr>
        <w:tc>
          <w:tcPr>
            <w:tcW w:w="3025" w:type="dxa"/>
            <w:vAlign w:val="center"/>
          </w:tcPr>
          <w:p w14:paraId="3FFDC2BF">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体检项目</w:t>
            </w:r>
          </w:p>
        </w:tc>
        <w:tc>
          <w:tcPr>
            <w:tcW w:w="2072" w:type="dxa"/>
            <w:tcBorders>
              <w:left w:val="single" w:color="auto" w:sz="4" w:space="0"/>
            </w:tcBorders>
            <w:vAlign w:val="center"/>
          </w:tcPr>
          <w:p w14:paraId="76545E66">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单价（元）</w:t>
            </w:r>
          </w:p>
        </w:tc>
        <w:tc>
          <w:tcPr>
            <w:tcW w:w="1481" w:type="dxa"/>
            <w:tcBorders>
              <w:left w:val="single" w:color="auto" w:sz="4" w:space="0"/>
            </w:tcBorders>
            <w:vAlign w:val="center"/>
          </w:tcPr>
          <w:p w14:paraId="4693B937">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人数</w:t>
            </w:r>
          </w:p>
        </w:tc>
        <w:tc>
          <w:tcPr>
            <w:tcW w:w="2092" w:type="dxa"/>
            <w:tcBorders>
              <w:left w:val="single" w:color="auto" w:sz="4" w:space="0"/>
            </w:tcBorders>
            <w:vAlign w:val="center"/>
          </w:tcPr>
          <w:p w14:paraId="740D6AFA">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合计（元）</w:t>
            </w:r>
          </w:p>
        </w:tc>
      </w:tr>
      <w:tr w14:paraId="689A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025" w:type="dxa"/>
            <w:vAlign w:val="center"/>
          </w:tcPr>
          <w:p w14:paraId="3A793D10">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rPr>
                <w:rFonts w:hint="eastAsia" w:ascii="宋体" w:hAnsi="宋体" w:eastAsia="宋体" w:cs="宋体"/>
                <w:color w:val="0000FF"/>
                <w:kern w:val="2"/>
                <w:sz w:val="24"/>
                <w:szCs w:val="24"/>
                <w:vertAlign w:val="baseline"/>
                <w:lang w:val="en-US" w:eastAsia="zh-CN" w:bidi="ar-SA"/>
              </w:rPr>
            </w:pPr>
          </w:p>
        </w:tc>
        <w:tc>
          <w:tcPr>
            <w:tcW w:w="2072" w:type="dxa"/>
            <w:tcBorders>
              <w:left w:val="single" w:color="auto" w:sz="4" w:space="0"/>
            </w:tcBorders>
            <w:vAlign w:val="center"/>
          </w:tcPr>
          <w:p w14:paraId="736C5124">
            <w:pPr>
              <w:keepNext w:val="0"/>
              <w:keepLines w:val="0"/>
              <w:pageBreakBefore w:val="0"/>
              <w:widowControl/>
              <w:suppressLineNumbers w:val="0"/>
              <w:kinsoku/>
              <w:wordWrap/>
              <w:overflowPunct/>
              <w:topLinePunct w:val="0"/>
              <w:autoSpaceDE/>
              <w:autoSpaceDN/>
              <w:spacing w:line="240" w:lineRule="exact"/>
              <w:jc w:val="left"/>
              <w:textAlignment w:val="center"/>
              <w:rPr>
                <w:rFonts w:hint="eastAsia" w:ascii="宋体" w:hAnsi="宋体" w:eastAsia="宋体" w:cs="宋体"/>
                <w:color w:val="0000FF"/>
                <w:kern w:val="2"/>
                <w:sz w:val="24"/>
                <w:szCs w:val="24"/>
                <w:vertAlign w:val="baseline"/>
                <w:lang w:val="en-US" w:eastAsia="zh-CN" w:bidi="ar-SA"/>
              </w:rPr>
            </w:pPr>
          </w:p>
        </w:tc>
        <w:tc>
          <w:tcPr>
            <w:tcW w:w="1481" w:type="dxa"/>
            <w:tcBorders>
              <w:left w:val="single" w:color="auto" w:sz="4" w:space="0"/>
            </w:tcBorders>
            <w:vAlign w:val="center"/>
          </w:tcPr>
          <w:p w14:paraId="5FB26826">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0000FF"/>
                <w:kern w:val="2"/>
                <w:sz w:val="24"/>
                <w:szCs w:val="24"/>
                <w:vertAlign w:val="baseline"/>
                <w:lang w:val="en-US" w:eastAsia="zh-CN" w:bidi="ar-SA"/>
              </w:rPr>
            </w:pPr>
          </w:p>
        </w:tc>
        <w:tc>
          <w:tcPr>
            <w:tcW w:w="2092" w:type="dxa"/>
            <w:tcBorders>
              <w:left w:val="single" w:color="auto" w:sz="4" w:space="0"/>
            </w:tcBorders>
            <w:vAlign w:val="center"/>
          </w:tcPr>
          <w:p w14:paraId="07F3749A">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0000FF"/>
                <w:kern w:val="2"/>
                <w:sz w:val="24"/>
                <w:szCs w:val="24"/>
                <w:vertAlign w:val="baseline"/>
                <w:lang w:val="en-US" w:eastAsia="zh-CN" w:bidi="ar-SA"/>
              </w:rPr>
            </w:pPr>
          </w:p>
        </w:tc>
      </w:tr>
      <w:tr w14:paraId="5741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trPr>
        <w:tc>
          <w:tcPr>
            <w:tcW w:w="3025" w:type="dxa"/>
            <w:vAlign w:val="center"/>
          </w:tcPr>
          <w:p w14:paraId="2E0D884E">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rPr>
                <w:rFonts w:hint="eastAsia" w:ascii="宋体" w:hAnsi="宋体" w:eastAsia="宋体" w:cs="宋体"/>
                <w:color w:val="0000FF"/>
                <w:kern w:val="2"/>
                <w:sz w:val="24"/>
                <w:szCs w:val="24"/>
                <w:vertAlign w:val="baseline"/>
                <w:lang w:val="en-US" w:eastAsia="zh-CN" w:bidi="ar-SA"/>
              </w:rPr>
            </w:pPr>
          </w:p>
        </w:tc>
        <w:tc>
          <w:tcPr>
            <w:tcW w:w="2072" w:type="dxa"/>
            <w:tcBorders>
              <w:left w:val="single" w:color="auto" w:sz="4" w:space="0"/>
            </w:tcBorders>
            <w:vAlign w:val="center"/>
          </w:tcPr>
          <w:p w14:paraId="4DB30A14">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rPr>
                <w:rFonts w:hint="eastAsia" w:ascii="宋体" w:hAnsi="宋体" w:eastAsia="宋体" w:cs="宋体"/>
                <w:color w:val="0000FF"/>
                <w:kern w:val="2"/>
                <w:sz w:val="24"/>
                <w:szCs w:val="24"/>
                <w:vertAlign w:val="baseline"/>
                <w:lang w:val="en-US" w:eastAsia="zh-CN" w:bidi="ar-SA"/>
              </w:rPr>
            </w:pPr>
          </w:p>
        </w:tc>
        <w:tc>
          <w:tcPr>
            <w:tcW w:w="1481" w:type="dxa"/>
            <w:tcBorders>
              <w:left w:val="single" w:color="auto" w:sz="4" w:space="0"/>
            </w:tcBorders>
            <w:vAlign w:val="center"/>
          </w:tcPr>
          <w:p w14:paraId="4D532A39">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0000FF"/>
                <w:kern w:val="2"/>
                <w:sz w:val="24"/>
                <w:szCs w:val="24"/>
                <w:vertAlign w:val="baseline"/>
                <w:lang w:val="en-US" w:eastAsia="zh-CN" w:bidi="ar-SA"/>
              </w:rPr>
            </w:pPr>
          </w:p>
        </w:tc>
        <w:tc>
          <w:tcPr>
            <w:tcW w:w="2092" w:type="dxa"/>
            <w:tcBorders>
              <w:left w:val="single" w:color="auto" w:sz="4" w:space="0"/>
            </w:tcBorders>
            <w:vAlign w:val="center"/>
          </w:tcPr>
          <w:p w14:paraId="06F915B6">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0000FF"/>
                <w:kern w:val="2"/>
                <w:sz w:val="24"/>
                <w:szCs w:val="24"/>
                <w:vertAlign w:val="baseline"/>
                <w:lang w:val="en-US" w:eastAsia="zh-CN" w:bidi="ar-SA"/>
              </w:rPr>
            </w:pPr>
          </w:p>
        </w:tc>
      </w:tr>
      <w:tr w14:paraId="1DC69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trPr>
        <w:tc>
          <w:tcPr>
            <w:tcW w:w="3025" w:type="dxa"/>
            <w:tcBorders>
              <w:right w:val="single" w:color="auto" w:sz="4" w:space="0"/>
            </w:tcBorders>
            <w:vAlign w:val="center"/>
          </w:tcPr>
          <w:p w14:paraId="1113BC69">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rPr>
                <w:rFonts w:hint="eastAsia" w:ascii="宋体" w:hAnsi="宋体" w:eastAsia="宋体" w:cs="宋体"/>
                <w:color w:val="0000FF"/>
                <w:kern w:val="2"/>
                <w:sz w:val="24"/>
                <w:szCs w:val="24"/>
                <w:vertAlign w:val="baseline"/>
                <w:lang w:val="en-US" w:eastAsia="zh-CN" w:bidi="ar-SA"/>
              </w:rPr>
            </w:pPr>
          </w:p>
        </w:tc>
        <w:tc>
          <w:tcPr>
            <w:tcW w:w="2072" w:type="dxa"/>
            <w:tcBorders>
              <w:left w:val="single" w:color="auto" w:sz="4" w:space="0"/>
              <w:right w:val="single" w:color="auto" w:sz="4" w:space="0"/>
            </w:tcBorders>
            <w:vAlign w:val="center"/>
          </w:tcPr>
          <w:p w14:paraId="3F8EBC6B">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rPr>
                <w:rFonts w:hint="eastAsia" w:ascii="宋体" w:hAnsi="宋体" w:eastAsia="宋体" w:cs="宋体"/>
                <w:color w:val="0000FF"/>
                <w:kern w:val="2"/>
                <w:sz w:val="24"/>
                <w:szCs w:val="24"/>
                <w:vertAlign w:val="baseline"/>
                <w:lang w:val="en-US" w:eastAsia="zh-CN" w:bidi="ar-SA"/>
              </w:rPr>
            </w:pPr>
          </w:p>
        </w:tc>
        <w:tc>
          <w:tcPr>
            <w:tcW w:w="1481" w:type="dxa"/>
            <w:tcBorders>
              <w:left w:val="single" w:color="auto" w:sz="4" w:space="0"/>
              <w:right w:val="single" w:color="auto" w:sz="4" w:space="0"/>
            </w:tcBorders>
            <w:vAlign w:val="center"/>
          </w:tcPr>
          <w:p w14:paraId="6C0E45C2">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0000FF"/>
                <w:kern w:val="2"/>
                <w:sz w:val="24"/>
                <w:szCs w:val="24"/>
                <w:vertAlign w:val="baseline"/>
                <w:lang w:val="en-US" w:eastAsia="zh-CN" w:bidi="ar-SA"/>
              </w:rPr>
            </w:pPr>
          </w:p>
        </w:tc>
        <w:tc>
          <w:tcPr>
            <w:tcW w:w="2092" w:type="dxa"/>
            <w:tcBorders>
              <w:left w:val="single" w:color="auto" w:sz="4" w:space="0"/>
            </w:tcBorders>
            <w:vAlign w:val="center"/>
          </w:tcPr>
          <w:p w14:paraId="694C55B6">
            <w:pPr>
              <w:pStyle w:val="5"/>
              <w:keepNext w:val="0"/>
              <w:keepLines w:val="0"/>
              <w:pageBreakBefore w:val="0"/>
              <w:widowControl/>
              <w:tabs>
                <w:tab w:val="left" w:pos="-2700"/>
              </w:tabs>
              <w:kinsoku/>
              <w:wordWrap/>
              <w:overflowPunct/>
              <w:topLinePunct w:val="0"/>
              <w:autoSpaceDE/>
              <w:autoSpaceDN/>
              <w:adjustRightInd w:val="0"/>
              <w:snapToGrid w:val="0"/>
              <w:spacing w:line="240" w:lineRule="exact"/>
              <w:ind w:firstLine="0"/>
              <w:jc w:val="center"/>
              <w:rPr>
                <w:rFonts w:hint="eastAsia" w:ascii="宋体" w:hAnsi="宋体" w:eastAsia="宋体" w:cs="宋体"/>
                <w:color w:val="0000FF"/>
                <w:kern w:val="2"/>
                <w:sz w:val="24"/>
                <w:szCs w:val="24"/>
                <w:vertAlign w:val="baseline"/>
                <w:lang w:val="en-US" w:eastAsia="zh-CN" w:bidi="ar-SA"/>
              </w:rPr>
            </w:pPr>
          </w:p>
        </w:tc>
      </w:tr>
    </w:tbl>
    <w:p w14:paraId="3323DEEC">
      <w:pPr>
        <w:tabs>
          <w:tab w:val="left" w:pos="480"/>
        </w:tabs>
        <w:spacing w:line="500" w:lineRule="exact"/>
        <w:ind w:firstLine="472" w:firstLineChars="196"/>
        <w:rPr>
          <w:rFonts w:hint="eastAsia" w:ascii="宋体" w:hAnsi="宋体" w:eastAsia="宋体" w:cs="宋体"/>
          <w:b/>
          <w:bCs/>
          <w:kern w:val="0"/>
          <w:sz w:val="24"/>
          <w:szCs w:val="24"/>
        </w:rPr>
      </w:pPr>
      <w:r>
        <w:rPr>
          <w:rFonts w:hint="eastAsia" w:ascii="宋体" w:hAnsi="宋体" w:eastAsia="宋体" w:cs="宋体"/>
          <w:b/>
          <w:bCs/>
          <w:kern w:val="0"/>
          <w:sz w:val="24"/>
          <w:szCs w:val="24"/>
        </w:rPr>
        <w:t>二、合同价款</w:t>
      </w:r>
    </w:p>
    <w:p w14:paraId="1DBA617B">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合同总价：</w:t>
      </w:r>
      <w:r>
        <w:rPr>
          <w:rFonts w:hint="eastAsia" w:ascii="宋体" w:hAnsi="宋体" w:eastAsia="宋体" w:cs="宋体"/>
          <w:sz w:val="24"/>
          <w:szCs w:val="24"/>
          <w:lang w:eastAsia="zh-CN"/>
        </w:rPr>
        <w:t>大写</w:t>
      </w:r>
      <w:r>
        <w:rPr>
          <w:rFonts w:hint="eastAsia" w:ascii="宋体" w:hAnsi="宋体" w:eastAsia="宋体" w:cs="宋体"/>
          <w:sz w:val="24"/>
          <w:szCs w:val="24"/>
        </w:rPr>
        <w:t>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元整（￥</w:t>
      </w:r>
      <w:r>
        <w:rPr>
          <w:rFonts w:hint="eastAsia" w:ascii="宋体" w:hAnsi="宋体" w:eastAsia="宋体" w:cs="宋体"/>
          <w:sz w:val="24"/>
          <w:szCs w:val="24"/>
          <w:lang w:val="en-US" w:eastAsia="zh-CN"/>
        </w:rPr>
        <w:t>0000</w:t>
      </w:r>
      <w:r>
        <w:rPr>
          <w:rFonts w:hint="eastAsia" w:ascii="宋体" w:hAnsi="宋体" w:eastAsia="宋体" w:cs="宋体"/>
          <w:sz w:val="24"/>
          <w:szCs w:val="24"/>
        </w:rPr>
        <w:t>.</w:t>
      </w:r>
      <w:r>
        <w:rPr>
          <w:rFonts w:hint="eastAsia" w:ascii="宋体" w:hAnsi="宋体" w:eastAsia="宋体" w:cs="宋体"/>
          <w:sz w:val="24"/>
          <w:szCs w:val="24"/>
          <w:lang w:val="en-US" w:eastAsia="zh-CN"/>
        </w:rPr>
        <w:t>00</w:t>
      </w:r>
      <w:r>
        <w:rPr>
          <w:rFonts w:hint="eastAsia" w:ascii="宋体" w:hAnsi="宋体" w:eastAsia="宋体" w:cs="宋体"/>
          <w:sz w:val="24"/>
          <w:szCs w:val="24"/>
        </w:rPr>
        <w:t>）。</w:t>
      </w:r>
    </w:p>
    <w:p w14:paraId="043BA0D6">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合同总价包括：</w:t>
      </w:r>
      <w:r>
        <w:rPr>
          <w:rFonts w:hint="eastAsia" w:ascii="宋体" w:hAnsi="宋体" w:eastAsia="宋体" w:cs="宋体"/>
          <w:sz w:val="24"/>
          <w:szCs w:val="24"/>
          <w:lang w:eastAsia="zh-CN"/>
        </w:rPr>
        <w:t>服务费、</w:t>
      </w:r>
      <w:r>
        <w:rPr>
          <w:rFonts w:hint="eastAsia" w:ascii="宋体" w:hAnsi="宋体" w:eastAsia="宋体" w:cs="宋体"/>
          <w:sz w:val="24"/>
          <w:szCs w:val="24"/>
        </w:rPr>
        <w:t>咨询费、资料费、培训费、全程指导费、税金等</w:t>
      </w:r>
      <w:r>
        <w:rPr>
          <w:rFonts w:hint="eastAsia" w:ascii="宋体" w:hAnsi="宋体" w:eastAsia="宋体" w:cs="宋体"/>
          <w:sz w:val="24"/>
          <w:szCs w:val="24"/>
          <w:lang w:val="en-US" w:eastAsia="zh-CN" w:bidi="ar-SA"/>
        </w:rPr>
        <w:t>服务商认为需要的其他一切费用</w:t>
      </w:r>
      <w:r>
        <w:rPr>
          <w:rFonts w:hint="eastAsia" w:ascii="宋体" w:hAnsi="宋体" w:eastAsia="宋体" w:cs="宋体"/>
          <w:sz w:val="24"/>
          <w:szCs w:val="24"/>
        </w:rPr>
        <w:t>。</w:t>
      </w:r>
    </w:p>
    <w:p w14:paraId="03676EBD">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合同总价一次包死，不受市场价变化的影响。</w:t>
      </w:r>
    </w:p>
    <w:p w14:paraId="5A227201">
      <w:pPr>
        <w:tabs>
          <w:tab w:val="left" w:pos="480"/>
        </w:tabs>
        <w:spacing w:beforeAutospacing="0" w:afterAutospacing="0" w:line="480" w:lineRule="exact"/>
        <w:ind w:firstLine="472" w:firstLineChars="196"/>
        <w:rPr>
          <w:rFonts w:hint="eastAsia" w:ascii="宋体" w:hAnsi="宋体" w:eastAsia="宋体" w:cs="宋体"/>
          <w:b/>
          <w:bCs/>
          <w:kern w:val="0"/>
          <w:sz w:val="24"/>
          <w:szCs w:val="24"/>
          <w:lang w:bidi="ar-SA"/>
        </w:rPr>
      </w:pPr>
      <w:r>
        <w:rPr>
          <w:rFonts w:hint="eastAsia" w:ascii="宋体" w:hAnsi="宋体" w:eastAsia="宋体" w:cs="宋体"/>
          <w:b/>
          <w:bCs/>
          <w:kern w:val="0"/>
          <w:sz w:val="24"/>
          <w:szCs w:val="24"/>
          <w:lang w:bidi="ar-SA"/>
        </w:rPr>
        <w:t>三、合同结算</w:t>
      </w:r>
    </w:p>
    <w:p w14:paraId="4D2F7CE7">
      <w:pPr>
        <w:keepNext w:val="0"/>
        <w:keepLines w:val="0"/>
        <w:pageBreakBefore w:val="0"/>
        <w:widowControl w:val="0"/>
        <w:kinsoku/>
        <w:wordWrap/>
        <w:overflowPunct/>
        <w:topLinePunct w:val="0"/>
        <w:autoSpaceDE/>
        <w:autoSpaceDN/>
        <w:adjustRightInd/>
        <w:snapToGrid/>
        <w:spacing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SA"/>
        </w:rPr>
        <w:t>1.支付方式：银行转账</w:t>
      </w:r>
      <w:r>
        <w:rPr>
          <w:rFonts w:hint="eastAsia" w:ascii="宋体" w:hAnsi="宋体" w:eastAsia="宋体" w:cs="宋体"/>
          <w:kern w:val="0"/>
          <w:sz w:val="24"/>
          <w:szCs w:val="24"/>
        </w:rPr>
        <w:t>。乙方必须开具全额发票，并附详细清单和验收单。如非乙方开具发票，甲方有权拒绝支付。</w:t>
      </w:r>
    </w:p>
    <w:p w14:paraId="05B6A687">
      <w:pPr>
        <w:spacing w:beforeAutospacing="0" w:afterAutospacing="0" w:line="480" w:lineRule="exact"/>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2.结算方式：按实际体检人数（体检报告数一致），一次性结算付清。本项目无预付款。</w:t>
      </w:r>
    </w:p>
    <w:p w14:paraId="6B09AA42">
      <w:pPr>
        <w:spacing w:beforeAutospacing="0" w:afterAutospacing="0" w:line="480" w:lineRule="exact"/>
        <w:ind w:firstLine="480" w:firstLineChars="200"/>
        <w:rPr>
          <w:rFonts w:hint="eastAsia" w:ascii="宋体" w:hAnsi="宋体" w:eastAsia="宋体" w:cs="宋体"/>
          <w:kern w:val="0"/>
          <w:sz w:val="24"/>
          <w:szCs w:val="24"/>
          <w:lang w:bidi="ar-SA"/>
        </w:rPr>
      </w:pPr>
      <w:r>
        <w:rPr>
          <w:rFonts w:hint="eastAsia" w:ascii="宋体" w:hAnsi="宋体" w:eastAsia="宋体" w:cs="宋体"/>
          <w:kern w:val="0"/>
          <w:sz w:val="24"/>
          <w:szCs w:val="24"/>
          <w:lang w:val="en-US" w:eastAsia="zh-CN" w:bidi="ar-SA"/>
        </w:rPr>
        <w:t>3.结算条件：服务商持成交通知书、服务合同、正式发票、政府采购项目验收单，与采购人结算。</w:t>
      </w:r>
    </w:p>
    <w:p w14:paraId="4DBBD4BD">
      <w:pPr>
        <w:tabs>
          <w:tab w:val="left" w:pos="480"/>
        </w:tabs>
        <w:spacing w:beforeAutospacing="0" w:afterAutospacing="0" w:line="480" w:lineRule="exact"/>
        <w:ind w:firstLine="472" w:firstLineChars="196"/>
        <w:rPr>
          <w:rFonts w:hint="eastAsia" w:ascii="宋体" w:hAnsi="宋体" w:eastAsia="宋体" w:cs="宋体"/>
          <w:b/>
          <w:bCs/>
          <w:kern w:val="0"/>
          <w:sz w:val="24"/>
          <w:szCs w:val="24"/>
        </w:rPr>
      </w:pPr>
      <w:r>
        <w:rPr>
          <w:rFonts w:hint="eastAsia" w:ascii="宋体" w:hAnsi="宋体" w:eastAsia="宋体" w:cs="宋体"/>
          <w:b/>
          <w:bCs/>
          <w:kern w:val="0"/>
          <w:sz w:val="24"/>
          <w:szCs w:val="24"/>
        </w:rPr>
        <w:t>四、履约验收</w:t>
      </w:r>
    </w:p>
    <w:p w14:paraId="1ECEBC80">
      <w:pPr>
        <w:tabs>
          <w:tab w:val="left" w:pos="480"/>
        </w:tabs>
        <w:spacing w:beforeAutospacing="0" w:afterAutospacing="0" w:line="480" w:lineRule="exact"/>
        <w:ind w:firstLine="470" w:firstLineChars="196"/>
        <w:rPr>
          <w:rFonts w:hint="eastAsia" w:ascii="宋体" w:hAnsi="宋体" w:eastAsia="宋体" w:cs="宋体"/>
          <w:kern w:val="0"/>
          <w:sz w:val="24"/>
          <w:szCs w:val="24"/>
        </w:rPr>
      </w:pPr>
      <w:r>
        <w:rPr>
          <w:rFonts w:hint="eastAsia" w:ascii="宋体" w:hAnsi="宋体" w:eastAsia="宋体" w:cs="宋体"/>
          <w:kern w:val="0"/>
          <w:sz w:val="24"/>
          <w:szCs w:val="24"/>
        </w:rPr>
        <w:t>1.甲方负责向乙方提供参加体检人员名单（包括人员的姓名、性别、年龄）分批次、按时间顺序、合理安排方案。</w:t>
      </w:r>
    </w:p>
    <w:p w14:paraId="075A853B">
      <w:pPr>
        <w:spacing w:beforeAutospacing="0" w:afterAutospacing="0" w:line="480" w:lineRule="exact"/>
        <w:ind w:firstLine="480" w:firstLineChars="200"/>
        <w:rPr>
          <w:rFonts w:hint="eastAsia" w:ascii="宋体" w:hAnsi="宋体" w:eastAsia="宋体" w:cs="宋体"/>
          <w:kern w:val="0"/>
          <w:sz w:val="24"/>
          <w:szCs w:val="24"/>
          <w:lang w:bidi="ar-SA"/>
        </w:rPr>
      </w:pPr>
      <w:r>
        <w:rPr>
          <w:rFonts w:hint="eastAsia" w:ascii="宋体" w:hAnsi="宋体" w:eastAsia="宋体" w:cs="宋体"/>
          <w:kern w:val="0"/>
          <w:sz w:val="24"/>
          <w:szCs w:val="24"/>
          <w:lang w:bidi="ar-SA"/>
        </w:rPr>
        <w:t>2.</w:t>
      </w:r>
      <w:r>
        <w:rPr>
          <w:rFonts w:hint="eastAsia" w:ascii="宋体" w:hAnsi="宋体" w:eastAsia="宋体" w:cs="宋体"/>
          <w:kern w:val="0"/>
          <w:sz w:val="24"/>
          <w:szCs w:val="24"/>
        </w:rPr>
        <w:t>服务地点：甲方指定地点。</w:t>
      </w:r>
    </w:p>
    <w:p w14:paraId="2F47CDDF">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SA"/>
        </w:rPr>
        <w:t>3.</w:t>
      </w:r>
      <w:r>
        <w:rPr>
          <w:rFonts w:hint="eastAsia" w:ascii="宋体" w:hAnsi="宋体" w:eastAsia="宋体" w:cs="宋体"/>
          <w:kern w:val="0"/>
          <w:sz w:val="24"/>
          <w:szCs w:val="24"/>
        </w:rPr>
        <w:t>甲方人员因故未能在规定时间进行体检时，经甲方同意可要求在规定时间之外另行约定体检时间，乙方应配合甲方之安排。</w:t>
      </w:r>
    </w:p>
    <w:p w14:paraId="423AF84B">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b w:val="0"/>
          <w:bCs w:val="0"/>
          <w:color w:val="auto"/>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b w:val="0"/>
          <w:bCs w:val="0"/>
          <w:color w:val="auto"/>
          <w:sz w:val="24"/>
          <w:szCs w:val="24"/>
        </w:rPr>
        <w:t>在</w:t>
      </w:r>
      <w:r>
        <w:rPr>
          <w:rFonts w:hint="eastAsia" w:ascii="宋体" w:hAnsi="宋体" w:eastAsia="宋体" w:cs="宋体"/>
          <w:b w:val="0"/>
          <w:bCs w:val="0"/>
          <w:color w:val="auto"/>
          <w:sz w:val="24"/>
          <w:szCs w:val="24"/>
          <w:lang w:eastAsia="zh-CN"/>
        </w:rPr>
        <w:t>甲方指定时间内，甲方验收服务内容达标（包括体检报告），共同完成验收。</w:t>
      </w:r>
    </w:p>
    <w:p w14:paraId="30B80CEB">
      <w:pPr>
        <w:adjustRightInd w:val="0"/>
        <w:snapToGrid w:val="0"/>
        <w:spacing w:beforeAutospacing="0" w:afterAutospacing="0" w:line="48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五、甲方权利及义务</w:t>
      </w:r>
    </w:p>
    <w:p w14:paraId="3683A24D">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bCs/>
          <w:kern w:val="0"/>
          <w:sz w:val="24"/>
          <w:szCs w:val="24"/>
        </w:rPr>
        <w:t>1.甲方应及时向乙方提</w:t>
      </w:r>
      <w:r>
        <w:rPr>
          <w:rFonts w:hint="eastAsia" w:ascii="宋体" w:hAnsi="宋体" w:eastAsia="宋体" w:cs="宋体"/>
          <w:kern w:val="0"/>
          <w:sz w:val="24"/>
          <w:szCs w:val="24"/>
        </w:rPr>
        <w:t>供参检人员名单及相关资料；</w:t>
      </w:r>
    </w:p>
    <w:p w14:paraId="3DE5D907">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2.甲方人员应按乙方要求注意体检准备事项并充分配合乙方及乙方工作人员的体检安排，以便顺利完成全部体检项目；</w:t>
      </w:r>
    </w:p>
    <w:p w14:paraId="63B9BE8B">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3.甲方应按时向乙方支付体检费用。</w:t>
      </w:r>
    </w:p>
    <w:p w14:paraId="08BF63FE">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六、乙方权利及义务</w:t>
      </w:r>
    </w:p>
    <w:p w14:paraId="11C1319D">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1.乙方应保证体检设备处于良好的工作状态；</w:t>
      </w:r>
    </w:p>
    <w:p w14:paraId="5CD4B764">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2.乙方应按国家规定的标准及流程为甲方人员安排高质量、规范化的体检服务；</w:t>
      </w:r>
    </w:p>
    <w:p w14:paraId="12A6C0C0">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3.乙方应在甲方人员完成全部体检项目后十</w:t>
      </w:r>
      <w:r>
        <w:rPr>
          <w:rFonts w:hint="eastAsia" w:ascii="宋体" w:hAnsi="宋体" w:cs="宋体"/>
          <w:kern w:val="0"/>
          <w:sz w:val="24"/>
          <w:szCs w:val="24"/>
          <w:lang w:val="en-US" w:eastAsia="zh-CN"/>
        </w:rPr>
        <w:t>个日然</w:t>
      </w:r>
      <w:r>
        <w:rPr>
          <w:rFonts w:hint="eastAsia" w:ascii="宋体" w:hAnsi="宋体" w:eastAsia="宋体" w:cs="宋体"/>
          <w:kern w:val="0"/>
          <w:sz w:val="24"/>
          <w:szCs w:val="24"/>
        </w:rPr>
        <w:t>内向甲方提交符合国家标准</w:t>
      </w:r>
      <w:r>
        <w:rPr>
          <w:rFonts w:hint="eastAsia" w:ascii="宋体" w:hAnsi="宋体" w:cs="宋体"/>
          <w:kern w:val="0"/>
          <w:sz w:val="24"/>
          <w:szCs w:val="24"/>
          <w:lang w:val="en-US" w:eastAsia="zh-CN"/>
        </w:rPr>
        <w:t>或行业标准</w:t>
      </w:r>
      <w:r>
        <w:rPr>
          <w:rFonts w:hint="eastAsia" w:ascii="宋体" w:hAnsi="宋体" w:eastAsia="宋体" w:cs="宋体"/>
          <w:kern w:val="0"/>
          <w:sz w:val="24"/>
          <w:szCs w:val="24"/>
        </w:rPr>
        <w:t>的体检报告。</w:t>
      </w:r>
    </w:p>
    <w:p w14:paraId="59E776AF">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4.对于体检过程中发现的甲方人员的疾病、疾病征兆及健康隐患，乙方应在体检报告中予以充分的说明；如有需要，乙方应安排专家向甲方人员提供详尽的咨询与解答；</w:t>
      </w:r>
    </w:p>
    <w:p w14:paraId="06F83CF4">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5.乙方应为甲方参检人员建立专门体检档案，体检档案应当清晰、准确、完整，并妥善保存备查；</w:t>
      </w:r>
    </w:p>
    <w:p w14:paraId="7F73681D">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6.乙方无偿提供：⑴车辆接送；⑵营养早餐；(3)经甲方授权，乙方方可提供电子体检报告。</w:t>
      </w:r>
    </w:p>
    <w:p w14:paraId="7A118D1B">
      <w:pPr>
        <w:adjustRightInd w:val="0"/>
        <w:snapToGrid w:val="0"/>
        <w:spacing w:beforeAutospacing="0" w:afterAutospacing="0" w:line="48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七、保密义务</w:t>
      </w:r>
    </w:p>
    <w:p w14:paraId="0B5E498A">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1.由于乙方为甲方及甲方人员提供的体检价格，因此，对于本协议书规定的体检收费标准，甲方负有为乙方保密的义务；</w:t>
      </w:r>
    </w:p>
    <w:p w14:paraId="6C73F261">
      <w:pPr>
        <w:adjustRightInd w:val="0"/>
        <w:snapToGrid w:val="0"/>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2.对于乙方在体检过程中知悉的甲方人员资料（包括但不限于姓名、年龄、体检指标、健康状况等），乙方负有充分的保密义务，并且这种保密义务不受时间的限制。</w:t>
      </w:r>
    </w:p>
    <w:p w14:paraId="259A93D4">
      <w:pPr>
        <w:keepNext w:val="0"/>
        <w:keepLines w:val="0"/>
        <w:pageBreakBefore w:val="0"/>
        <w:widowControl/>
        <w:kinsoku/>
        <w:wordWrap/>
        <w:overflowPunct/>
        <w:topLinePunct w:val="0"/>
        <w:autoSpaceDE/>
        <w:autoSpaceDN/>
        <w:spacing w:beforeAutospacing="0" w:afterAutospacing="0" w:line="480" w:lineRule="exact"/>
        <w:ind w:firstLine="402" w:firstLineChars="200"/>
        <w:rPr>
          <w:rFonts w:hint="eastAsia" w:ascii="宋体" w:hAnsi="宋体" w:eastAsia="宋体" w:cs="宋体"/>
          <w:b/>
          <w:color w:val="000000"/>
          <w:spacing w:val="-20"/>
          <w:kern w:val="0"/>
          <w:sz w:val="24"/>
          <w:szCs w:val="24"/>
          <w:lang w:val="en-US" w:eastAsia="zh-CN" w:bidi="ar-SA"/>
        </w:rPr>
      </w:pPr>
      <w:r>
        <w:rPr>
          <w:rFonts w:hint="eastAsia" w:ascii="宋体" w:hAnsi="宋体" w:eastAsia="宋体" w:cs="宋体"/>
          <w:b/>
          <w:color w:val="000000"/>
          <w:spacing w:val="-20"/>
          <w:kern w:val="0"/>
          <w:sz w:val="24"/>
          <w:szCs w:val="24"/>
          <w:lang w:val="en-US" w:eastAsia="zh-CN" w:bidi="ar-SA"/>
        </w:rPr>
        <w:t>八、争议解决方式</w:t>
      </w:r>
    </w:p>
    <w:p w14:paraId="3C764279">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本合同在履行过程中发生的争议，由甲、乙双方当事人</w:t>
      </w:r>
      <w:r>
        <w:rPr>
          <w:rFonts w:hint="eastAsia" w:ascii="宋体" w:hAnsi="宋体" w:cs="宋体"/>
          <w:sz w:val="24"/>
          <w:szCs w:val="24"/>
          <w:lang w:val="en-US" w:eastAsia="zh-CN"/>
        </w:rPr>
        <w:t>友好</w:t>
      </w:r>
      <w:r>
        <w:rPr>
          <w:rFonts w:hint="eastAsia" w:ascii="宋体" w:hAnsi="宋体" w:eastAsia="宋体" w:cs="宋体"/>
          <w:sz w:val="24"/>
          <w:szCs w:val="24"/>
        </w:rPr>
        <w:t>协商解决，协商不成</w:t>
      </w:r>
      <w:r>
        <w:rPr>
          <w:rFonts w:hint="eastAsia" w:ascii="宋体" w:hAnsi="宋体" w:eastAsia="宋体" w:cs="宋体"/>
          <w:sz w:val="24"/>
          <w:szCs w:val="24"/>
          <w:lang w:eastAsia="zh-CN"/>
        </w:rPr>
        <w:t>则</w:t>
      </w:r>
      <w:r>
        <w:rPr>
          <w:rFonts w:hint="eastAsia" w:ascii="宋体" w:hAnsi="宋体" w:eastAsia="宋体" w:cs="宋体"/>
          <w:sz w:val="24"/>
          <w:szCs w:val="24"/>
        </w:rPr>
        <w:t>依法向西安市雁塔区人民法院起诉。</w:t>
      </w:r>
    </w:p>
    <w:p w14:paraId="17355667">
      <w:pPr>
        <w:tabs>
          <w:tab w:val="left" w:pos="480"/>
        </w:tabs>
        <w:spacing w:beforeAutospacing="0" w:afterAutospacing="0" w:line="480" w:lineRule="exact"/>
        <w:ind w:firstLine="394" w:firstLineChars="196"/>
        <w:outlineLvl w:val="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lang w:val="en-US" w:eastAsia="zh-CN" w:bidi="ar-SA"/>
        </w:rPr>
        <w:t>九、</w:t>
      </w:r>
      <w:r>
        <w:rPr>
          <w:rFonts w:hint="eastAsia" w:ascii="宋体" w:hAnsi="宋体" w:eastAsia="宋体" w:cs="宋体"/>
          <w:b/>
          <w:color w:val="000000"/>
          <w:spacing w:val="-20"/>
          <w:kern w:val="0"/>
          <w:sz w:val="24"/>
          <w:szCs w:val="24"/>
        </w:rPr>
        <w:t>合同生效</w:t>
      </w:r>
    </w:p>
    <w:p w14:paraId="03D61770">
      <w:pPr>
        <w:keepNext w:val="0"/>
        <w:keepLines w:val="0"/>
        <w:pageBreakBefore w:val="0"/>
        <w:widowControl/>
        <w:kinsoku/>
        <w:wordWrap/>
        <w:overflowPunct/>
        <w:topLinePunct w:val="0"/>
        <w:autoSpaceDE/>
        <w:autoSpaceDN/>
        <w:adjustRightInd/>
        <w:snapToGrid/>
        <w:spacing w:beforeAutospacing="0" w:afterAutospacing="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本合同一式</w:t>
      </w:r>
      <w:r>
        <w:rPr>
          <w:rFonts w:hint="eastAsia" w:ascii="宋体" w:hAnsi="宋体" w:eastAsia="宋体" w:cs="宋体"/>
          <w:color w:val="0000FF"/>
          <w:sz w:val="24"/>
          <w:szCs w:val="24"/>
          <w:u w:val="single"/>
          <w:lang w:val="en-US" w:eastAsia="zh-CN"/>
        </w:rPr>
        <w:t>陆</w:t>
      </w:r>
      <w:r>
        <w:rPr>
          <w:rFonts w:hint="eastAsia" w:ascii="宋体" w:hAnsi="宋体" w:eastAsia="宋体" w:cs="宋体"/>
          <w:sz w:val="24"/>
          <w:szCs w:val="24"/>
        </w:rPr>
        <w:t>份，甲方持</w:t>
      </w:r>
      <w:r>
        <w:rPr>
          <w:rFonts w:hint="eastAsia" w:ascii="宋体" w:hAnsi="宋体" w:eastAsia="宋体" w:cs="宋体"/>
          <w:color w:val="0000FF"/>
          <w:sz w:val="24"/>
          <w:szCs w:val="24"/>
          <w:u w:val="single"/>
        </w:rPr>
        <w:t>肆</w:t>
      </w:r>
      <w:r>
        <w:rPr>
          <w:rFonts w:hint="eastAsia" w:ascii="宋体" w:hAnsi="宋体" w:eastAsia="宋体" w:cs="宋体"/>
          <w:sz w:val="24"/>
          <w:szCs w:val="24"/>
        </w:rPr>
        <w:t>份，乙方持</w:t>
      </w:r>
      <w:r>
        <w:rPr>
          <w:rFonts w:hint="eastAsia" w:ascii="宋体" w:hAnsi="宋体" w:eastAsia="宋体" w:cs="宋体"/>
          <w:color w:val="0000FF"/>
          <w:sz w:val="24"/>
          <w:szCs w:val="24"/>
          <w:u w:val="single"/>
          <w:lang w:val="en-US" w:eastAsia="zh-CN"/>
        </w:rPr>
        <w:t>贰</w:t>
      </w:r>
      <w:r>
        <w:rPr>
          <w:rFonts w:hint="eastAsia" w:ascii="宋体" w:hAnsi="宋体" w:eastAsia="宋体" w:cs="宋体"/>
          <w:sz w:val="24"/>
          <w:szCs w:val="24"/>
        </w:rPr>
        <w:t>份。本合同甲、乙双方</w:t>
      </w:r>
      <w:r>
        <w:rPr>
          <w:rFonts w:hint="eastAsia" w:ascii="宋体" w:hAnsi="宋体" w:cs="宋体"/>
          <w:sz w:val="24"/>
          <w:szCs w:val="24"/>
          <w:lang w:val="en-US" w:eastAsia="zh-CN"/>
        </w:rPr>
        <w:t>法定代表人或授权代表</w:t>
      </w:r>
      <w:r>
        <w:rPr>
          <w:rFonts w:hint="eastAsia" w:ascii="宋体" w:hAnsi="宋体" w:eastAsia="宋体" w:cs="宋体"/>
          <w:sz w:val="24"/>
          <w:szCs w:val="24"/>
        </w:rPr>
        <w:t>签字</w:t>
      </w:r>
      <w:r>
        <w:rPr>
          <w:rFonts w:hint="eastAsia" w:ascii="宋体" w:hAnsi="宋体" w:cs="宋体"/>
          <w:sz w:val="24"/>
          <w:szCs w:val="24"/>
          <w:lang w:val="en-US" w:eastAsia="zh-CN"/>
        </w:rPr>
        <w:t>及</w:t>
      </w:r>
      <w:r>
        <w:rPr>
          <w:rFonts w:hint="eastAsia" w:ascii="宋体" w:hAnsi="宋体" w:eastAsia="宋体" w:cs="宋体"/>
          <w:sz w:val="24"/>
          <w:szCs w:val="24"/>
        </w:rPr>
        <w:t>盖</w:t>
      </w:r>
      <w:r>
        <w:rPr>
          <w:rFonts w:hint="eastAsia" w:ascii="宋体" w:hAnsi="宋体" w:cs="宋体"/>
          <w:sz w:val="24"/>
          <w:szCs w:val="24"/>
          <w:lang w:val="en-US" w:eastAsia="zh-CN"/>
        </w:rPr>
        <w:t>公</w:t>
      </w:r>
      <w:r>
        <w:rPr>
          <w:rFonts w:hint="eastAsia" w:ascii="宋体" w:hAnsi="宋体" w:eastAsia="宋体" w:cs="宋体"/>
          <w:sz w:val="24"/>
          <w:szCs w:val="24"/>
        </w:rPr>
        <w:t>章后生效，执行期自</w:t>
      </w:r>
      <w:r>
        <w:rPr>
          <w:rFonts w:hint="eastAsia" w:ascii="宋体" w:hAnsi="宋体" w:eastAsia="宋体" w:cs="宋体"/>
          <w:b/>
          <w:bCs/>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日</w:t>
      </w:r>
      <w:r>
        <w:rPr>
          <w:rFonts w:hint="eastAsia" w:ascii="宋体" w:hAnsi="宋体" w:eastAsia="宋体" w:cs="宋体"/>
          <w:sz w:val="24"/>
          <w:szCs w:val="24"/>
        </w:rPr>
        <w:t>起至</w:t>
      </w:r>
      <w:r>
        <w:rPr>
          <w:rFonts w:hint="eastAsia" w:ascii="宋体" w:hAnsi="宋体" w:eastAsia="宋体" w:cs="宋体"/>
          <w:color w:val="0000FF"/>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日</w:t>
      </w:r>
      <w:r>
        <w:rPr>
          <w:rFonts w:hint="eastAsia" w:ascii="宋体" w:hAnsi="宋体" w:eastAsia="宋体" w:cs="宋体"/>
          <w:sz w:val="24"/>
          <w:szCs w:val="24"/>
        </w:rPr>
        <w:t>。</w:t>
      </w:r>
    </w:p>
    <w:p w14:paraId="14F38CFC">
      <w:pPr>
        <w:keepNext w:val="0"/>
        <w:keepLines w:val="0"/>
        <w:pageBreakBefore w:val="0"/>
        <w:widowControl/>
        <w:kinsoku/>
        <w:wordWrap/>
        <w:overflowPunct/>
        <w:topLinePunct w:val="0"/>
        <w:autoSpaceDE/>
        <w:autoSpaceDN/>
        <w:adjustRightInd/>
        <w:snapToGrid/>
        <w:spacing w:beforeAutospacing="0" w:afterAutospacing="0"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2.合同到期，甲乙双方未按约定方式续签，本合同自动终止</w:t>
      </w:r>
      <w:r>
        <w:rPr>
          <w:rFonts w:hint="eastAsia" w:ascii="宋体" w:hAnsi="宋体" w:eastAsia="宋体" w:cs="宋体"/>
          <w:sz w:val="24"/>
          <w:szCs w:val="24"/>
        </w:rPr>
        <w:t>（合同的服务承诺则长期有效）</w:t>
      </w:r>
      <w:r>
        <w:rPr>
          <w:rFonts w:hint="eastAsia" w:ascii="宋体" w:hAnsi="宋体" w:eastAsia="宋体" w:cs="宋体"/>
          <w:sz w:val="24"/>
          <w:szCs w:val="24"/>
          <w:lang w:eastAsia="zh-CN"/>
        </w:rPr>
        <w:t>。</w:t>
      </w:r>
    </w:p>
    <w:p w14:paraId="38B612BF">
      <w:pPr>
        <w:tabs>
          <w:tab w:val="left" w:pos="480"/>
        </w:tabs>
        <w:spacing w:beforeAutospacing="0" w:afterAutospacing="0" w:line="480" w:lineRule="exact"/>
        <w:ind w:firstLine="394" w:firstLineChars="196"/>
        <w:outlineLvl w:val="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十、其他事项</w:t>
      </w:r>
    </w:p>
    <w:p w14:paraId="09704393">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成交通知书、采购文件、供应方的响应文件及澄清或承诺文件等均为合同的有效组成部分，具有同等法律效力。</w:t>
      </w:r>
      <w:r>
        <w:rPr>
          <w:rFonts w:hint="eastAsia" w:ascii="宋体" w:hAnsi="宋体" w:eastAsia="宋体" w:cs="宋体"/>
          <w:sz w:val="24"/>
          <w:szCs w:val="24"/>
        </w:rPr>
        <w:t>合同未尽事宜，由甲、乙双方协商确认后，作为合同补充，与原合同具有同等法律效力。</w:t>
      </w:r>
    </w:p>
    <w:p w14:paraId="29D880CC">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合同一经签订，不得擅自变更、中止或终止合同。对确需变更、调整或中止、终止合同的，应按规定履行相应的手续。</w:t>
      </w:r>
    </w:p>
    <w:p w14:paraId="44941A89">
      <w:pPr>
        <w:keepNext w:val="0"/>
        <w:keepLines w:val="0"/>
        <w:pageBreakBefore w:val="0"/>
        <w:widowControl/>
        <w:kinsoku/>
        <w:wordWrap/>
        <w:overflowPunct/>
        <w:topLinePunct w:val="0"/>
        <w:autoSpaceDE/>
        <w:autoSpaceDN/>
        <w:spacing w:beforeAutospacing="0" w:afterAutospacing="0" w:line="480" w:lineRule="exact"/>
        <w:ind w:firstLine="480" w:firstLineChars="200"/>
        <w:rPr>
          <w:rFonts w:hint="eastAsia" w:ascii="宋体" w:hAnsi="宋体" w:eastAsia="宋体" w:cs="宋体"/>
          <w:kern w:val="0"/>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本合同按照中华人民共和国的现行法律进行解释。</w:t>
      </w:r>
    </w:p>
    <w:tbl>
      <w:tblPr>
        <w:tblStyle w:val="6"/>
        <w:tblW w:w="9009" w:type="dxa"/>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8"/>
        <w:gridCol w:w="4479"/>
      </w:tblGrid>
      <w:tr w14:paraId="58D3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l2br w:val="nil"/>
              <w:tr2bl w:val="nil"/>
            </w:tcBorders>
          </w:tcPr>
          <w:p w14:paraId="2F292B71">
            <w:pPr>
              <w:autoSpaceDE w:val="0"/>
              <w:autoSpaceDN w:val="0"/>
              <w:adjustRightInd w:val="0"/>
              <w:spacing w:line="500" w:lineRule="exact"/>
              <w:jc w:val="center"/>
              <w:rPr>
                <w:rFonts w:hint="eastAsia" w:ascii="宋体" w:hAnsi="宋体" w:eastAsia="宋体" w:cs="宋体"/>
                <w:color w:val="000000"/>
                <w:spacing w:val="-20"/>
                <w:kern w:val="0"/>
                <w:sz w:val="24"/>
                <w:szCs w:val="24"/>
                <w:lang w:bidi="ar-SA"/>
              </w:rPr>
            </w:pPr>
            <w:r>
              <w:rPr>
                <w:rFonts w:hint="eastAsia" w:ascii="宋体" w:hAnsi="宋体" w:eastAsia="宋体" w:cs="宋体"/>
                <w:color w:val="000000"/>
                <w:spacing w:val="-20"/>
                <w:kern w:val="0"/>
                <w:sz w:val="24"/>
                <w:szCs w:val="24"/>
                <w:lang w:bidi="ar-SA"/>
              </w:rPr>
              <w:t>甲方</w:t>
            </w:r>
          </w:p>
        </w:tc>
        <w:tc>
          <w:tcPr>
            <w:tcW w:w="4479" w:type="dxa"/>
            <w:tcBorders>
              <w:top w:val="single" w:color="auto" w:sz="4" w:space="0"/>
              <w:left w:val="single" w:color="auto" w:sz="4" w:space="0"/>
              <w:bottom w:val="single" w:color="auto" w:sz="4" w:space="0"/>
              <w:right w:val="single" w:color="auto" w:sz="4" w:space="0"/>
              <w:tl2br w:val="nil"/>
              <w:tr2bl w:val="nil"/>
            </w:tcBorders>
          </w:tcPr>
          <w:p w14:paraId="08304354">
            <w:pPr>
              <w:autoSpaceDE w:val="0"/>
              <w:autoSpaceDN w:val="0"/>
              <w:adjustRightInd w:val="0"/>
              <w:spacing w:line="500" w:lineRule="exact"/>
              <w:jc w:val="center"/>
              <w:rPr>
                <w:rFonts w:hint="eastAsia" w:ascii="宋体" w:hAnsi="宋体" w:eastAsia="宋体" w:cs="宋体"/>
                <w:color w:val="000000"/>
                <w:spacing w:val="-20"/>
                <w:kern w:val="0"/>
                <w:sz w:val="24"/>
                <w:szCs w:val="24"/>
                <w:lang w:bidi="ar-SA"/>
              </w:rPr>
            </w:pPr>
            <w:r>
              <w:rPr>
                <w:rFonts w:hint="eastAsia" w:ascii="宋体" w:hAnsi="宋体" w:eastAsia="宋体" w:cs="宋体"/>
                <w:color w:val="000000"/>
                <w:spacing w:val="-20"/>
                <w:kern w:val="0"/>
                <w:sz w:val="24"/>
                <w:szCs w:val="24"/>
                <w:lang w:bidi="ar-SA"/>
              </w:rPr>
              <w:t>乙方</w:t>
            </w:r>
          </w:p>
        </w:tc>
      </w:tr>
      <w:tr w14:paraId="552C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1DDE4382">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采购人名称（盖章）</w:t>
            </w:r>
          </w:p>
          <w:p w14:paraId="5BFA933B">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西安市中心血站</w:t>
            </w: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5CE052FF">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供应商全称（盖章）</w:t>
            </w:r>
          </w:p>
          <w:p w14:paraId="0207CD11">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p>
        </w:tc>
      </w:tr>
      <w:tr w14:paraId="4026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6DC86F64">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地址：</w:t>
            </w: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2864F4B5">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地址：</w:t>
            </w:r>
          </w:p>
        </w:tc>
      </w:tr>
      <w:tr w14:paraId="780F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366D7D86">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p>
          <w:p w14:paraId="0D39176C">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法定代表人</w:t>
            </w:r>
          </w:p>
          <w:p w14:paraId="3FFE3225">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eastAsia="zh-CN" w:bidi="ar-SA"/>
              </w:rPr>
              <w:t>或</w:t>
            </w:r>
            <w:r>
              <w:rPr>
                <w:rFonts w:hint="eastAsia" w:ascii="宋体" w:hAnsi="宋体" w:eastAsia="宋体" w:cs="宋体"/>
                <w:sz w:val="24"/>
                <w:szCs w:val="24"/>
                <w:lang w:bidi="ar-SA"/>
              </w:rPr>
              <w:t xml:space="preserve">授权代表： </w:t>
            </w:r>
          </w:p>
          <w:p w14:paraId="2C3EBD99">
            <w:pPr>
              <w:pStyle w:val="3"/>
              <w:rPr>
                <w:rFonts w:hint="eastAsia"/>
                <w:lang w:val="en-US" w:eastAsia="zh-CN"/>
              </w:rPr>
            </w:pP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09B874B4">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法定代表人</w:t>
            </w:r>
          </w:p>
          <w:p w14:paraId="156C998F">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eastAsia="zh-CN" w:bidi="ar-SA"/>
              </w:rPr>
              <w:t>或</w:t>
            </w:r>
            <w:r>
              <w:rPr>
                <w:rFonts w:hint="eastAsia" w:ascii="宋体" w:hAnsi="宋体" w:eastAsia="宋体" w:cs="宋体"/>
                <w:sz w:val="24"/>
                <w:szCs w:val="24"/>
                <w:lang w:bidi="ar-SA"/>
              </w:rPr>
              <w:t>授权代表：</w:t>
            </w:r>
          </w:p>
        </w:tc>
      </w:tr>
      <w:tr w14:paraId="0A7A0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253CD7B8">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电话：</w:t>
            </w: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110B7E8A">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val="en-US" w:eastAsia="zh-CN" w:bidi="ar-SA"/>
              </w:rPr>
            </w:pPr>
            <w:r>
              <w:rPr>
                <w:rFonts w:hint="eastAsia" w:ascii="宋体" w:hAnsi="宋体" w:eastAsia="宋体" w:cs="宋体"/>
                <w:sz w:val="24"/>
                <w:szCs w:val="24"/>
                <w:lang w:bidi="ar-SA"/>
              </w:rPr>
              <w:t>电话：</w:t>
            </w:r>
          </w:p>
        </w:tc>
      </w:tr>
      <w:tr w14:paraId="2A46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35274E73">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bidi="ar-SA"/>
              </w:rPr>
              <w:t>传真：</w:t>
            </w: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25A7CD33">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val="en-US" w:eastAsia="zh-CN" w:bidi="ar-SA"/>
              </w:rPr>
            </w:pPr>
            <w:r>
              <w:rPr>
                <w:rFonts w:hint="eastAsia" w:ascii="宋体" w:hAnsi="宋体" w:eastAsia="宋体" w:cs="宋体"/>
                <w:sz w:val="24"/>
                <w:szCs w:val="24"/>
                <w:lang w:bidi="ar-SA"/>
              </w:rPr>
              <w:t>传真：</w:t>
            </w:r>
          </w:p>
        </w:tc>
      </w:tr>
      <w:tr w14:paraId="62A2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40EA6593">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val="en-US" w:eastAsia="zh-CN"/>
              </w:rPr>
            </w:pPr>
            <w:r>
              <w:rPr>
                <w:rFonts w:hint="eastAsia" w:ascii="宋体" w:hAnsi="宋体" w:eastAsia="宋体" w:cs="宋体"/>
                <w:sz w:val="24"/>
                <w:szCs w:val="24"/>
                <w:lang w:eastAsia="zh-CN"/>
              </w:rPr>
              <w:t>开户银行：</w:t>
            </w: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05D182BA">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rPr>
            </w:pPr>
            <w:r>
              <w:rPr>
                <w:rFonts w:hint="eastAsia" w:ascii="宋体" w:hAnsi="宋体" w:eastAsia="宋体" w:cs="宋体"/>
                <w:sz w:val="24"/>
                <w:szCs w:val="24"/>
              </w:rPr>
              <w:t>开户银行：</w:t>
            </w:r>
          </w:p>
        </w:tc>
      </w:tr>
      <w:tr w14:paraId="6A13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6B9FCB26">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val="en-US" w:eastAsia="zh-CN" w:bidi="ar-SA"/>
              </w:rPr>
            </w:pPr>
            <w:r>
              <w:rPr>
                <w:rFonts w:hint="eastAsia" w:ascii="宋体" w:hAnsi="宋体" w:eastAsia="宋体" w:cs="宋体"/>
                <w:sz w:val="24"/>
                <w:szCs w:val="24"/>
                <w:lang w:eastAsia="zh-CN" w:bidi="ar-SA"/>
              </w:rPr>
              <w:t>账号：</w:t>
            </w: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52714D7E">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cs="宋体"/>
                <w:sz w:val="24"/>
                <w:szCs w:val="24"/>
                <w:lang w:val="en-US" w:eastAsia="zh-CN" w:bidi="ar-SA"/>
              </w:rPr>
              <w:t>账</w:t>
            </w:r>
            <w:r>
              <w:rPr>
                <w:rFonts w:hint="eastAsia" w:ascii="宋体" w:hAnsi="宋体" w:eastAsia="宋体" w:cs="宋体"/>
                <w:sz w:val="24"/>
                <w:szCs w:val="24"/>
                <w:lang w:bidi="ar-SA"/>
              </w:rPr>
              <w:t>号：</w:t>
            </w:r>
          </w:p>
        </w:tc>
      </w:tr>
      <w:tr w14:paraId="2B04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528" w:type="dxa"/>
            <w:tcBorders>
              <w:top w:val="single" w:color="auto" w:sz="4" w:space="0"/>
              <w:left w:val="single" w:color="auto" w:sz="4" w:space="0"/>
              <w:bottom w:val="single" w:color="auto" w:sz="4" w:space="0"/>
              <w:right w:val="single" w:color="auto" w:sz="4" w:space="0"/>
              <w:tl2br w:val="nil"/>
              <w:tr2bl w:val="nil"/>
            </w:tcBorders>
            <w:vAlign w:val="center"/>
          </w:tcPr>
          <w:p w14:paraId="7210F950">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eastAsia="zh-CN" w:bidi="ar-SA"/>
              </w:rPr>
            </w:pPr>
            <w:r>
              <w:rPr>
                <w:rFonts w:hint="eastAsia" w:ascii="宋体" w:hAnsi="宋体" w:eastAsia="宋体" w:cs="宋体"/>
                <w:sz w:val="24"/>
                <w:szCs w:val="24"/>
                <w:lang w:eastAsia="zh-CN" w:bidi="ar-SA"/>
              </w:rPr>
              <w:t>纳税人识别号：</w:t>
            </w:r>
          </w:p>
        </w:tc>
        <w:tc>
          <w:tcPr>
            <w:tcW w:w="4479" w:type="dxa"/>
            <w:tcBorders>
              <w:top w:val="single" w:color="auto" w:sz="4" w:space="0"/>
              <w:left w:val="single" w:color="auto" w:sz="4" w:space="0"/>
              <w:bottom w:val="single" w:color="auto" w:sz="4" w:space="0"/>
              <w:right w:val="single" w:color="auto" w:sz="4" w:space="0"/>
              <w:tl2br w:val="nil"/>
              <w:tr2bl w:val="nil"/>
            </w:tcBorders>
            <w:vAlign w:val="center"/>
          </w:tcPr>
          <w:p w14:paraId="79DEF02C">
            <w:pPr>
              <w:keepNext w:val="0"/>
              <w:keepLines w:val="0"/>
              <w:pageBreakBefore w:val="0"/>
              <w:widowControl w:val="0"/>
              <w:kinsoku/>
              <w:wordWrap/>
              <w:overflowPunct/>
              <w:topLinePunct w:val="0"/>
              <w:autoSpaceDE/>
              <w:autoSpaceDN/>
              <w:adjustRightInd/>
              <w:snapToGrid/>
              <w:spacing w:line="240" w:lineRule="exact"/>
              <w:rPr>
                <w:rFonts w:hint="eastAsia" w:ascii="宋体" w:hAnsi="宋体" w:eastAsia="宋体" w:cs="宋体"/>
                <w:sz w:val="24"/>
                <w:szCs w:val="24"/>
                <w:lang w:bidi="ar-SA"/>
              </w:rPr>
            </w:pPr>
            <w:r>
              <w:rPr>
                <w:rFonts w:hint="eastAsia" w:ascii="宋体" w:hAnsi="宋体" w:eastAsia="宋体" w:cs="宋体"/>
                <w:sz w:val="24"/>
                <w:szCs w:val="24"/>
                <w:lang w:eastAsia="zh-CN" w:bidi="ar-SA"/>
              </w:rPr>
              <w:t>纳税人识别号：</w:t>
            </w:r>
          </w:p>
        </w:tc>
      </w:tr>
      <w:tr w14:paraId="2CCC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47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27973E1">
            <w:pPr>
              <w:keepNext w:val="0"/>
              <w:keepLines w:val="0"/>
              <w:pageBreakBefore w:val="0"/>
              <w:widowControl w:val="0"/>
              <w:kinsoku/>
              <w:wordWrap/>
              <w:overflowPunct/>
              <w:topLinePunct w:val="0"/>
              <w:autoSpaceDE/>
              <w:autoSpaceDN/>
              <w:adjustRightInd/>
              <w:snapToGrid/>
              <w:spacing w:line="240" w:lineRule="exact"/>
              <w:jc w:val="center"/>
              <w:rPr>
                <w:rFonts w:hint="eastAsia" w:ascii="宋体" w:hAnsi="宋体" w:eastAsia="宋体" w:cs="宋体"/>
                <w:sz w:val="24"/>
                <w:szCs w:val="24"/>
                <w:lang w:eastAsia="zh-CN" w:bidi="ar-SA"/>
              </w:rPr>
            </w:pPr>
            <w:r>
              <w:rPr>
                <w:rFonts w:hint="eastAsia" w:ascii="宋体" w:hAnsi="宋体" w:eastAsia="宋体" w:cs="宋体"/>
                <w:sz w:val="24"/>
                <w:szCs w:val="24"/>
                <w:lang w:bidi="ar-SA"/>
              </w:rPr>
              <w:t>签订日期：</w:t>
            </w:r>
            <w:r>
              <w:rPr>
                <w:rFonts w:hint="eastAsia" w:ascii="宋体" w:hAnsi="宋体" w:eastAsia="宋体" w:cs="宋体"/>
                <w:sz w:val="24"/>
                <w:szCs w:val="24"/>
                <w:lang w:val="en-US" w:eastAsia="zh-CN" w:bidi="ar-SA"/>
              </w:rPr>
              <w:t>2026</w:t>
            </w:r>
            <w:r>
              <w:rPr>
                <w:rFonts w:hint="eastAsia" w:ascii="宋体" w:hAnsi="宋体" w:eastAsia="宋体" w:cs="宋体"/>
                <w:sz w:val="24"/>
                <w:szCs w:val="24"/>
                <w:lang w:bidi="ar-SA"/>
              </w:rPr>
              <w:t>年   月</w:t>
            </w:r>
            <w:r>
              <w:rPr>
                <w:rFonts w:hint="eastAsia" w:ascii="宋体" w:hAnsi="宋体" w:eastAsia="宋体" w:cs="宋体"/>
                <w:sz w:val="24"/>
                <w:szCs w:val="24"/>
                <w:lang w:val="en-US" w:eastAsia="zh-CN" w:bidi="ar-SA"/>
              </w:rPr>
              <w:t xml:space="preserve">  </w:t>
            </w:r>
            <w:r>
              <w:rPr>
                <w:rFonts w:hint="eastAsia" w:ascii="宋体" w:hAnsi="宋体" w:eastAsia="宋体" w:cs="宋体"/>
                <w:sz w:val="24"/>
                <w:szCs w:val="24"/>
                <w:lang w:bidi="ar-SA"/>
              </w:rPr>
              <w:t>日</w:t>
            </w:r>
          </w:p>
        </w:tc>
      </w:tr>
    </w:tbl>
    <w:p w14:paraId="31FA06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ESI小标宋-GB2312">
    <w:altName w:val="宋体"/>
    <w:panose1 w:val="02000500000000000000"/>
    <w:charset w:val="86"/>
    <w:family w:val="script"/>
    <w:pitch w:val="default"/>
    <w:sig w:usb0="00000000" w:usb1="00000000" w:usb2="00000010"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007D6D"/>
    <w:rsid w:val="3D6E582B"/>
    <w:rsid w:val="46B050A5"/>
    <w:rsid w:val="4E902EE7"/>
    <w:rsid w:val="78E05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3"/>
    <w:qFormat/>
    <w:uiPriority w:val="0"/>
    <w:pPr>
      <w:spacing w:line="360" w:lineRule="auto"/>
      <w:jc w:val="center"/>
      <w:outlineLvl w:val="1"/>
    </w:pPr>
    <w:rPr>
      <w:rFonts w:ascii="宋体" w:hAnsi="宋体" w:eastAsia="宋体" w:cs="Times New Roman"/>
      <w:b/>
      <w:kern w:val="2"/>
      <w:sz w:val="24"/>
      <w:lang w:val="en-US" w:eastAsia="zh-CN"/>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Body Text"/>
    <w:basedOn w:val="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Body Text Indent"/>
    <w:basedOn w:val="1"/>
    <w:next w:val="3"/>
    <w:qFormat/>
    <w:uiPriority w:val="0"/>
    <w:pPr>
      <w:spacing w:line="400" w:lineRule="exact"/>
      <w:ind w:firstLine="570"/>
      <w:jc w:val="both"/>
    </w:pPr>
    <w:rPr>
      <w:rFonts w:ascii="Calibri Light" w:hAnsi="Calibri Light" w:eastAsia="华文仿宋" w:cs="Times New Roman"/>
      <w:kern w:val="2"/>
      <w:sz w:val="28"/>
      <w:szCs w:val="20"/>
      <w:lang w:val="en-US" w:eastAsia="zh-CN" w:bidi="ar-SA"/>
    </w:rPr>
  </w:style>
  <w:style w:type="paragraph" w:customStyle="1" w:styleId="8">
    <w:name w:val="No Spacing1"/>
    <w:basedOn w:val="1"/>
    <w:qFormat/>
    <w:uiPriority w:val="0"/>
    <w:pPr>
      <w:spacing w:line="400" w:lineRule="exact"/>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1540</Words>
  <Characters>1589</Characters>
  <Lines>0</Lines>
  <Paragraphs>0</Paragraphs>
  <TotalTime>0</TotalTime>
  <ScaleCrop>false</ScaleCrop>
  <LinksUpToDate>false</LinksUpToDate>
  <CharactersWithSpaces>1640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2025-11-19T02:45:00Z</dcterms:created>
  <dc:creator>Admin</dc:creator>
  <cp:lastModifiedBy>Baymax</cp:lastModifiedBy>
  <dcterms:modified xsi:type="dcterms:W3CDTF">2026-07-24T07:18:28Z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eyJoZGlkIjoiYzkwMDZkZGY1MTRlYjljNmZhOWY2MzlhYTE2NmNjYjUiLCJ1c2VySWQiOiI1ODQwNTk5NDYifQ==</vt:lpwstr>
  </property>
  <property fmtid="{D5CDD505-2E9C-101B-9397-08002B2CF9AE}" pid="4" name="ICV">
    <vt:lpwstr>E758FDD13ABF420AB695E552A33D8BB8_12</vt:lpwstr>
  </property>
</Properties>
</file>