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版本号：DX2026-17120260710002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长安区2026年秋季及2027年春季学期营养改善计划-米面油项目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DX2026-171</w:t>
      </w:r>
      <w:r>
        <w:br/>
      </w:r>
      <w:r>
        <w:br/>
      </w:r>
      <w:r>
        <w:br/>
      </w:r>
    </w:p>
    <w:p>
      <w:pPr>
        <w:pStyle w:val="null3"/>
        <w:jc w:val="center"/>
        <w:outlineLvl w:val="2"/>
      </w:pPr>
      <w:r>
        <w:rPr>
          <w:rFonts w:ascii="仿宋_GB2312" w:hAnsi="仿宋_GB2312" w:cs="仿宋_GB2312" w:eastAsia="仿宋_GB2312"/>
          <w:sz w:val="28"/>
          <w:b/>
        </w:rPr>
        <w:t>西安市长安区学生资助管理中心</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西安市长安区学生资助管理中心</w:t>
      </w:r>
      <w:r>
        <w:rPr>
          <w:rFonts w:ascii="仿宋_GB2312" w:hAnsi="仿宋_GB2312" w:cs="仿宋_GB2312" w:eastAsia="仿宋_GB2312"/>
        </w:rPr>
        <w:t>委托，拟对</w:t>
      </w:r>
      <w:r>
        <w:rPr>
          <w:rFonts w:ascii="仿宋_GB2312" w:hAnsi="仿宋_GB2312" w:cs="仿宋_GB2312" w:eastAsia="仿宋_GB2312"/>
        </w:rPr>
        <w:t>长安区2026年秋季及2027年春季学期营养改善计划-米面油项目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DX2026-171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长安区2026年秋季及2027年春季学期营养改善计划-米面油项目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长安区2026年秋季及2027年春季学期营养改善计划-米面油项目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2、政府采购法第二十二条规定：投标人须提供符合《中华人民共和国政府采购法》第二十二条的规定的资格承诺函。</w:t>
      </w:r>
    </w:p>
    <w:p>
      <w:pPr>
        <w:pStyle w:val="null3"/>
      </w:pPr>
      <w:r>
        <w:rPr>
          <w:rFonts w:ascii="仿宋_GB2312" w:hAnsi="仿宋_GB2312" w:cs="仿宋_GB2312" w:eastAsia="仿宋_GB2312"/>
        </w:rPr>
        <w:t>3、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4、信用记录：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5、特定资格：投标人为代理商的提供有效的《食品经营许可证》或《仅销售预包装食品经营者备案表》及生产厂家《食品生产许可证》；投标人为生产厂家的提供有效的《食品生产许可证》。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2、政府采购法第二十二条规定：投标人须提供符合《中华人民共和国政府采购法》第二十二条的规定的资格承诺函。</w:t>
      </w:r>
    </w:p>
    <w:p>
      <w:pPr>
        <w:pStyle w:val="null3"/>
      </w:pPr>
      <w:r>
        <w:rPr>
          <w:rFonts w:ascii="仿宋_GB2312" w:hAnsi="仿宋_GB2312" w:cs="仿宋_GB2312" w:eastAsia="仿宋_GB2312"/>
        </w:rPr>
        <w:t>3、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4、信用记录：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5、特定资格：投标人为代理商的提供有效的《食品经营许可证》或《仅销售预包装食品经营者备案表》及生产厂家《食品生产许可证》；投标人为生产厂家的提供有效的《食品生产许可证》。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西安市长安区学生资助管理中心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西安市长安区长安南街258号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029-89057203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刘艳娇、张亚娜、聂肖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采购包1：2,220,000.00元</w:t>
            </w:r>
          </w:p>
          <w:p>
            <w:pPr>
              <w:pStyle w:val="null3"/>
            </w:pPr>
            <w:r>
              <w:rPr>
                <w:rFonts w:ascii="仿宋_GB2312" w:hAnsi="仿宋_GB2312" w:cs="仿宋_GB2312" w:eastAsia="仿宋_GB2312"/>
              </w:rPr>
              <w:t>采购包2：2,140,000.00元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采购代理机构参照国家计委关于《国家发展改革委办公厅关于招标代理服务收费有关问题的通知》（发改价格[2003]857号）、《国家发展改革委关于进一步放开建设项目专业服务价格的通知》收取。注：每标段代理服务费不足8000元的，每标段按照8000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西安市长安区学生资助管理中心</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西安市长安区学生资助管理中心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西安市长安区学生资助管理中心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联系人：刘艳娇、张亚娜、聂肖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长安区2026年秋季及2027年春季学期营养改善计划-米面油项目。本项目单价最高限价：大米135元/25kg/袋；面粉105元/25kg/袋；菜籽油75元/5L/桶(包含原料、生产、税费、包装、运输等一切费用)。供应商投标报价超过最高限价的，按照无效文件处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2,220,000.00</w:t>
      </w:r>
    </w:p>
    <w:p>
      <w:pPr>
        <w:pStyle w:val="null3"/>
      </w:pPr>
      <w:r>
        <w:rPr>
          <w:rFonts w:ascii="仿宋_GB2312" w:hAnsi="仿宋_GB2312" w:cs="仿宋_GB2312" w:eastAsia="仿宋_GB2312"/>
        </w:rPr>
        <w:t>采购包最高限价（元）: 2,220,000.00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食堂供餐模式米面油采购及配送（1）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2,140,000.00</w:t>
      </w:r>
    </w:p>
    <w:p>
      <w:pPr>
        <w:pStyle w:val="null3"/>
      </w:pPr>
      <w:r>
        <w:rPr>
          <w:rFonts w:ascii="仿宋_GB2312" w:hAnsi="仿宋_GB2312" w:cs="仿宋_GB2312" w:eastAsia="仿宋_GB2312"/>
        </w:rPr>
        <w:t>采购包最高限价（元）: 2,140,000.00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食堂供餐模式米面油采购及配送（2）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标的名称：食堂供餐模式米面油采购及配送（1）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b/>
              </w:rPr>
              <w:t>注：带有</w:t>
            </w:r>
            <w:r>
              <w:rPr>
                <w:rFonts w:ascii="仿宋_GB2312" w:hAnsi="仿宋_GB2312" w:cs="仿宋_GB2312" w:eastAsia="仿宋_GB2312"/>
                <w:sz w:val="18"/>
                <w:b/>
              </w:rPr>
              <w:t>★号的技术参数为实质性条款不得有负偏差</w:t>
            </w:r>
          </w:p>
          <w:p>
            <w:pPr>
              <w:pStyle w:val="null3"/>
              <w:jc w:val="left"/>
            </w:pPr>
            <w:r>
              <w:rPr>
                <w:rFonts w:ascii="仿宋_GB2312" w:hAnsi="仿宋_GB2312" w:cs="仿宋_GB2312" w:eastAsia="仿宋_GB2312"/>
                <w:sz w:val="18"/>
              </w:rPr>
              <w:t>1、招标内容：西安市长安区教育局学生营养改善计划米、面、油采购。</w:t>
            </w:r>
          </w:p>
          <w:p>
            <w:pPr>
              <w:pStyle w:val="null3"/>
              <w:jc w:val="left"/>
            </w:pPr>
            <w:r>
              <w:rPr>
                <w:rFonts w:ascii="仿宋_GB2312" w:hAnsi="仿宋_GB2312" w:cs="仿宋_GB2312" w:eastAsia="仿宋_GB2312"/>
                <w:sz w:val="18"/>
              </w:rPr>
              <w:t>2、数量：食堂供餐学生约13703人，本次招标一学年，按</w:t>
            </w:r>
            <w:r>
              <w:rPr>
                <w:rFonts w:ascii="仿宋_GB2312" w:hAnsi="仿宋_GB2312" w:cs="仿宋_GB2312" w:eastAsia="仿宋_GB2312"/>
                <w:sz w:val="18"/>
              </w:rPr>
              <w:t>162</w:t>
            </w:r>
            <w:r>
              <w:rPr>
                <w:rFonts w:ascii="仿宋_GB2312" w:hAnsi="仿宋_GB2312" w:cs="仿宋_GB2312" w:eastAsia="仿宋_GB2312"/>
                <w:sz w:val="18"/>
              </w:rPr>
              <w:t>天计算，招标资金</w:t>
            </w:r>
            <w:r>
              <w:rPr>
                <w:rFonts w:ascii="仿宋_GB2312" w:hAnsi="仿宋_GB2312" w:cs="仿宋_GB2312" w:eastAsia="仿宋_GB2312"/>
                <w:sz w:val="18"/>
              </w:rPr>
              <w:t>222万元。（注：实际资金按学校实际配送量计算）</w:t>
            </w:r>
          </w:p>
          <w:tbl>
            <w:tblPr>
              <w:tblInd w:type="dxa" w:w="120"/>
              <w:tblBorders>
                <w:top w:val="none" w:color="000000" w:sz="4"/>
                <w:left w:val="none" w:color="000000" w:sz="4"/>
                <w:bottom w:val="none" w:color="000000" w:sz="4"/>
                <w:right w:val="none" w:color="000000" w:sz="4"/>
                <w:insideH w:val="none"/>
                <w:insideV w:val="none"/>
              </w:tblBorders>
            </w:tblPr>
            <w:tblGrid>
              <w:gridCol w:w="803"/>
              <w:gridCol w:w="986"/>
              <w:gridCol w:w="763"/>
            </w:tblGrid>
            <w:tr>
              <w:tc>
                <w:tcPr>
                  <w:tcW w:type="dxa" w:w="8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9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学校名称</w:t>
                  </w:r>
                </w:p>
              </w:tc>
              <w:tc>
                <w:tcPr>
                  <w:tcW w:type="dxa" w:w="76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学生数</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九中</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365</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十一中</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629</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引镇初中</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1351</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杜曲初中</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580</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杜曲樊村初中</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288</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王莽九年制学校</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208</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王莽韦兆初中</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161</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五台初中</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220</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砲里初中</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123</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魏寨初中</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161</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杨庄初中</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615</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特殊教育学校</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大兆中心学校</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649</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大兆三益小学</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512</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大兆庞留小学</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121</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大兆章曲小学</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148</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大兆倪家滩小学</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211</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大兆三友小学</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鸣犊中心学校</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689</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鸣犊留公小学</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143</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鸣犊四坡小学</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237</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砲里中心学校</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176</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砲里东岭小学</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砲里西垇教学点</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魏寨彭村小学</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89</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魏寨中心学校</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297</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引镇中心学校</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1110</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引镇孙车小学</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154</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引镇南寨小学</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引镇大峪口小学</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92</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引镇光辉小学</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引镇龙渠小学</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102</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引镇屈家斜小学</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68</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引镇白道峪小学</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引镇北留小学</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102</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王莽汤房庙小学</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王莽中心学校</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131</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王莽清水头小学</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268</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王莽韦兆小学</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361</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五台中心学校</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507</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五台东五联小学</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杨庄中心学校</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573</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杨庄石佛庄小学</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135</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杨庄库峪口小学</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杜曲中心学校</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821</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杜曲韦村小学</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杜曲师家村小学</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239</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杜曲小江村小学</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192</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杜曲杨万小学</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121</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杜曲岳村小学</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89</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杜曲西江坡小学</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合计</w:t>
                  </w:r>
                </w:p>
              </w:tc>
              <w:tc>
                <w:tcPr>
                  <w:tcW w:type="dxa" w:w="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13703</w:t>
                  </w:r>
                </w:p>
              </w:tc>
            </w:tr>
          </w:tbl>
          <w:p>
            <w:pPr>
              <w:pStyle w:val="null3"/>
              <w:ind w:firstLine="560"/>
              <w:jc w:val="left"/>
            </w:pPr>
            <w:r>
              <w:rPr>
                <w:rFonts w:ascii="仿宋_GB2312" w:hAnsi="仿宋_GB2312" w:cs="仿宋_GB2312" w:eastAsia="仿宋_GB2312"/>
                <w:sz w:val="18"/>
                <w:b/>
              </w:rPr>
              <w:t>备注：以上提供数据为测算参考数据，不为最终供货、结算依据，实际数量按学校提供的每学年实际天数和人数计算。</w:t>
            </w:r>
          </w:p>
          <w:p>
            <w:pPr>
              <w:pStyle w:val="null3"/>
              <w:jc w:val="left"/>
            </w:pPr>
            <w:r>
              <w:rPr>
                <w:rFonts w:ascii="仿宋_GB2312" w:hAnsi="仿宋_GB2312" w:cs="仿宋_GB2312" w:eastAsia="仿宋_GB2312"/>
                <w:sz w:val="18"/>
              </w:rPr>
              <w:t>3、技术要求：</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1）大米</w:t>
            </w:r>
            <w:r>
              <w:rPr>
                <w:rFonts w:ascii="仿宋_GB2312" w:hAnsi="仿宋_GB2312" w:cs="仿宋_GB2312" w:eastAsia="仿宋_GB2312"/>
                <w:sz w:val="18"/>
                <w:b/>
              </w:rPr>
              <w:t>（核心产品）</w:t>
            </w:r>
          </w:p>
          <w:p>
            <w:pPr>
              <w:pStyle w:val="null3"/>
              <w:jc w:val="left"/>
            </w:pPr>
            <w:r>
              <w:rPr>
                <w:rFonts w:ascii="仿宋_GB2312" w:hAnsi="仿宋_GB2312" w:cs="仿宋_GB2312" w:eastAsia="仿宋_GB2312"/>
                <w:sz w:val="18"/>
              </w:rPr>
              <w:t>独立包装；一级梗米，质量符合国家标准</w:t>
            </w:r>
            <w:r>
              <w:rPr>
                <w:rFonts w:ascii="仿宋_GB2312" w:hAnsi="仿宋_GB2312" w:cs="仿宋_GB2312" w:eastAsia="仿宋_GB2312"/>
                <w:sz w:val="18"/>
              </w:rPr>
              <w:t>GB/T 1354-2018国标一等（须提供产品的检验报告）；便于运输、储存，外包装上必须标明生产日期、保质期、执行标准、储存条件、生产厂家、产地等。</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2）面粉</w:t>
            </w:r>
          </w:p>
          <w:p>
            <w:pPr>
              <w:pStyle w:val="null3"/>
              <w:jc w:val="left"/>
            </w:pPr>
            <w:r>
              <w:rPr>
                <w:rFonts w:ascii="仿宋_GB2312" w:hAnsi="仿宋_GB2312" w:cs="仿宋_GB2312" w:eastAsia="仿宋_GB2312"/>
                <w:sz w:val="18"/>
              </w:rPr>
              <w:t>独立包装；质量符合国家标准</w:t>
            </w:r>
            <w:r>
              <w:rPr>
                <w:rFonts w:ascii="仿宋_GB2312" w:hAnsi="仿宋_GB2312" w:cs="仿宋_GB2312" w:eastAsia="仿宋_GB2312"/>
                <w:sz w:val="18"/>
              </w:rPr>
              <w:t>GB/T1355-2021精制粉标准要求（须提供产品的检验报告）；便于运输、储存，外包装上必须标明生产日期、保质期、执行标准、储存条件、生产厂家、产地等。</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3）食用油</w:t>
            </w:r>
          </w:p>
          <w:p>
            <w:pPr>
              <w:pStyle w:val="null3"/>
              <w:jc w:val="left"/>
            </w:pPr>
            <w:r>
              <w:rPr>
                <w:rFonts w:ascii="仿宋_GB2312" w:hAnsi="仿宋_GB2312" w:cs="仿宋_GB2312" w:eastAsia="仿宋_GB2312"/>
                <w:sz w:val="18"/>
              </w:rPr>
              <w:t>等级与工艺必须为国标一级及以上（须提供具有国家或地方权威部门出具的产品的检验报告），且明确要求非转基因、物理压榨菜籽油；必须是预包装（非散装），外包装上必须标明注册商标、生产日期、保质期、</w:t>
            </w:r>
            <w:r>
              <w:rPr>
                <w:rFonts w:ascii="仿宋_GB2312" w:hAnsi="仿宋_GB2312" w:cs="仿宋_GB2312" w:eastAsia="仿宋_GB2312"/>
                <w:sz w:val="18"/>
              </w:rPr>
              <w:t>QS/SC认证标志、储存条件、生产厂家、产地等。</w:t>
            </w:r>
          </w:p>
          <w:p>
            <w:pPr>
              <w:pStyle w:val="null3"/>
              <w:jc w:val="left"/>
            </w:pPr>
            <w:r>
              <w:rPr>
                <w:rFonts w:ascii="仿宋_GB2312" w:hAnsi="仿宋_GB2312" w:cs="仿宋_GB2312" w:eastAsia="仿宋_GB2312"/>
                <w:sz w:val="18"/>
              </w:rPr>
              <w:t>4、严格按照采购人要求配送到校，因运输装卸过程中造成的损耗（例如包装严重变形、破损，食品污损等），发现的破损、腐败变质等食品必须无条件更换，并承诺不附加任何费用。</w:t>
            </w:r>
          </w:p>
          <w:p>
            <w:pPr>
              <w:pStyle w:val="null3"/>
              <w:jc w:val="left"/>
            </w:pPr>
            <w:r>
              <w:rPr>
                <w:rFonts w:ascii="仿宋_GB2312" w:hAnsi="仿宋_GB2312" w:cs="仿宋_GB2312" w:eastAsia="仿宋_GB2312"/>
                <w:sz w:val="18"/>
              </w:rPr>
              <w:t>5、配送数量、频率等要求须以合同中采购人规定的要求和标准执行。</w:t>
            </w:r>
          </w:p>
          <w:p>
            <w:pPr>
              <w:pStyle w:val="null3"/>
              <w:jc w:val="left"/>
            </w:pPr>
            <w:r>
              <w:rPr>
                <w:rFonts w:ascii="仿宋_GB2312" w:hAnsi="仿宋_GB2312" w:cs="仿宋_GB2312" w:eastAsia="仿宋_GB2312"/>
                <w:sz w:val="18"/>
              </w:rPr>
              <w:t>6、中标供应商投标的生产厂商须与最终供货的生产厂商保持一致。</w:t>
            </w:r>
          </w:p>
          <w:p>
            <w:pPr>
              <w:pStyle w:val="null3"/>
              <w:jc w:val="left"/>
            </w:pPr>
            <w:r>
              <w:rPr>
                <w:rFonts w:ascii="仿宋_GB2312" w:hAnsi="仿宋_GB2312" w:cs="仿宋_GB2312" w:eastAsia="仿宋_GB2312"/>
                <w:sz w:val="18"/>
              </w:rPr>
              <w:t>7、货物需求及服务要求：</w:t>
            </w:r>
          </w:p>
          <w:p>
            <w:pPr>
              <w:pStyle w:val="null3"/>
              <w:jc w:val="left"/>
            </w:pPr>
            <w:r>
              <w:rPr>
                <w:rFonts w:ascii="仿宋_GB2312" w:hAnsi="仿宋_GB2312" w:cs="仿宋_GB2312" w:eastAsia="仿宋_GB2312"/>
                <w:sz w:val="18"/>
              </w:rPr>
              <w:t>★7.1.投标产品必须符合国家食品卫生安全标准，投标供应商应遵守有关的国家法律、法令、条例和政府采购法规，承担相关法律责任；因涉及食品类产品，必须满足采购人保质、保鲜、就近配送条件；</w:t>
            </w:r>
          </w:p>
          <w:p>
            <w:pPr>
              <w:pStyle w:val="null3"/>
              <w:jc w:val="left"/>
            </w:pPr>
            <w:r>
              <w:rPr>
                <w:rFonts w:ascii="仿宋_GB2312" w:hAnsi="仿宋_GB2312" w:cs="仿宋_GB2312" w:eastAsia="仿宋_GB2312"/>
                <w:sz w:val="18"/>
              </w:rPr>
              <w:t>7.2. 学校有特殊安排的，按照学校安排执行。</w:t>
            </w:r>
          </w:p>
          <w:p>
            <w:pPr>
              <w:pStyle w:val="null3"/>
            </w:pPr>
            <w:r>
              <w:rPr>
                <w:rFonts w:ascii="仿宋_GB2312" w:hAnsi="仿宋_GB2312" w:cs="仿宋_GB2312" w:eastAsia="仿宋_GB2312"/>
                <w:sz w:val="18"/>
              </w:rPr>
              <w:t>7.3.如果中标供应商在履行合同过程中，出现重大产品质量问题或配送不及时等问题，采购人可单方面终止合同，并要求中标供应商赔偿采购人的相应损失。</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标的名称：食堂供餐模式米面油采购及配送（2）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18"/>
                <w:b/>
              </w:rPr>
              <w:t>注：带有</w:t>
            </w:r>
            <w:r>
              <w:rPr>
                <w:rFonts w:ascii="仿宋_GB2312" w:hAnsi="仿宋_GB2312" w:cs="仿宋_GB2312" w:eastAsia="仿宋_GB2312"/>
                <w:sz w:val="18"/>
                <w:b/>
              </w:rPr>
              <w:t>★号的技术参数为实质性条款不得有负偏差</w:t>
            </w:r>
          </w:p>
          <w:p>
            <w:pPr>
              <w:pStyle w:val="null3"/>
              <w:jc w:val="left"/>
            </w:pPr>
            <w:r>
              <w:rPr>
                <w:rFonts w:ascii="仿宋_GB2312" w:hAnsi="仿宋_GB2312" w:cs="仿宋_GB2312" w:eastAsia="仿宋_GB2312"/>
                <w:sz w:val="18"/>
              </w:rPr>
              <w:t>1、招标内容：西安市长安区教育局学生营养改善计划米、面、油采购。</w:t>
            </w:r>
          </w:p>
          <w:p>
            <w:pPr>
              <w:pStyle w:val="null3"/>
              <w:jc w:val="left"/>
            </w:pPr>
            <w:r>
              <w:rPr>
                <w:rFonts w:ascii="仿宋_GB2312" w:hAnsi="仿宋_GB2312" w:cs="仿宋_GB2312" w:eastAsia="仿宋_GB2312"/>
                <w:sz w:val="18"/>
              </w:rPr>
              <w:t>2、数量：食堂供餐学生约13233人，本次招标一学年，按162天计算，招标资金214万元。（注：实际资金按学校实际配送量计算）</w:t>
            </w:r>
          </w:p>
          <w:tbl>
            <w:tblPr>
              <w:tblInd w:type="dxa" w:w="120"/>
              <w:tblBorders>
                <w:top w:val="none" w:color="000000" w:sz="4"/>
                <w:left w:val="none" w:color="000000" w:sz="4"/>
                <w:bottom w:val="none" w:color="000000" w:sz="4"/>
                <w:right w:val="none" w:color="000000" w:sz="4"/>
                <w:insideH w:val="none"/>
                <w:insideV w:val="none"/>
              </w:tblBorders>
            </w:tblPr>
            <w:tblGrid>
              <w:gridCol w:w="803"/>
              <w:gridCol w:w="985"/>
              <w:gridCol w:w="764"/>
            </w:tblGrid>
            <w:tr>
              <w:tc>
                <w:tcPr>
                  <w:tcW w:type="dxa" w:w="8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98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学校名称</w:t>
                  </w:r>
                </w:p>
              </w:tc>
              <w:tc>
                <w:tcPr>
                  <w:tcW w:type="dxa" w:w="76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学生数</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八中</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285</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十中</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238</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子午初中</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716</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子午王庄初中</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224</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太乙宫初中</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338</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滦镇泉子头初中</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270</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滦镇景民初中</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766</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滦镇鸭池口初中</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574</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东大祥峪九年制</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郭杜香积寺中学</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1151</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王曲马厂小学</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王曲中心学校</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533</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王曲曙光小学</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134</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王曲皇甫小学</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219</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太乙宫中心学校</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763</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太乙宫新关小学</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134</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郭杜周家庄小学</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433</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郭杜香积寺小学</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503</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郭杜张康小学</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515</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郭杜宫字小学</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161</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黄良中心学校</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554</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黄良湖村小学</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130</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黄良仁村小学</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145</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子午曹村小学</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683</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子午张村小学</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子午东村小学</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滦镇中心学校</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1015</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滦镇滦村小学</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滦镇西留小学</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353</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滦镇乔村小学</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74</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滦镇内苑小学</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221</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滦镇王寨小学</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328</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滦镇泉子头小学</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154</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滦镇鸭池口小学</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230</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东大祥峪小学</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130</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滦镇新区小学</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954</w:t>
                  </w:r>
                </w:p>
              </w:tc>
            </w:tr>
            <w:tr>
              <w:tc>
                <w:tcPr>
                  <w:tcW w:type="dxa" w:w="80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仿宋_GB2312" w:hAnsi="仿宋_GB2312" w:cs="仿宋_GB2312" w:eastAsia="仿宋_GB2312"/>
                      <w:sz w:val="18"/>
                      <w:b/>
                      <w:color w:val="000000"/>
                    </w:rPr>
                    <w:t>合计</w:t>
                  </w:r>
                </w:p>
              </w:tc>
              <w:tc>
                <w:tcPr>
                  <w:tcW w:type="dxa" w:w="9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b/>
                      <w:color w:val="000000"/>
                    </w:rPr>
                    <w:t>13233</w:t>
                  </w:r>
                </w:p>
              </w:tc>
            </w:tr>
          </w:tbl>
          <w:p>
            <w:pPr>
              <w:pStyle w:val="null3"/>
              <w:ind w:firstLine="560"/>
              <w:jc w:val="left"/>
            </w:pPr>
            <w:r>
              <w:rPr>
                <w:rFonts w:ascii="仿宋_GB2312" w:hAnsi="仿宋_GB2312" w:cs="仿宋_GB2312" w:eastAsia="仿宋_GB2312"/>
                <w:sz w:val="18"/>
                <w:b/>
              </w:rPr>
              <w:t>备注：以上提供数据为测算参考数据，不为最终供货、结算依据，实际数量按学校提供的每学年实际天数和人数计算。</w:t>
            </w:r>
          </w:p>
          <w:p>
            <w:pPr>
              <w:pStyle w:val="null3"/>
              <w:jc w:val="left"/>
            </w:pPr>
            <w:r>
              <w:rPr>
                <w:rFonts w:ascii="仿宋_GB2312" w:hAnsi="仿宋_GB2312" w:cs="仿宋_GB2312" w:eastAsia="仿宋_GB2312"/>
                <w:sz w:val="18"/>
              </w:rPr>
              <w:t>3、技术要求：</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1）大米</w:t>
            </w:r>
            <w:r>
              <w:rPr>
                <w:rFonts w:ascii="仿宋_GB2312" w:hAnsi="仿宋_GB2312" w:cs="仿宋_GB2312" w:eastAsia="仿宋_GB2312"/>
                <w:sz w:val="18"/>
                <w:b/>
              </w:rPr>
              <w:t>（核心产品）</w:t>
            </w:r>
          </w:p>
          <w:p>
            <w:pPr>
              <w:pStyle w:val="null3"/>
              <w:jc w:val="left"/>
            </w:pPr>
            <w:r>
              <w:rPr>
                <w:rFonts w:ascii="仿宋_GB2312" w:hAnsi="仿宋_GB2312" w:cs="仿宋_GB2312" w:eastAsia="仿宋_GB2312"/>
                <w:sz w:val="18"/>
              </w:rPr>
              <w:t>独立包装；一级梗米，质量符合国家标准</w:t>
            </w:r>
            <w:r>
              <w:rPr>
                <w:rFonts w:ascii="仿宋_GB2312" w:hAnsi="仿宋_GB2312" w:cs="仿宋_GB2312" w:eastAsia="仿宋_GB2312"/>
                <w:sz w:val="18"/>
              </w:rPr>
              <w:t>GB/T 1354-2018国标一等（须提供产品的检验报告）；便于运输、储存，外包装上必须标明生产日期、保质期、执行标准、储存条件、生产厂家、产地等。</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2）面粉</w:t>
            </w:r>
          </w:p>
          <w:p>
            <w:pPr>
              <w:pStyle w:val="null3"/>
              <w:jc w:val="left"/>
            </w:pPr>
            <w:r>
              <w:rPr>
                <w:rFonts w:ascii="仿宋_GB2312" w:hAnsi="仿宋_GB2312" w:cs="仿宋_GB2312" w:eastAsia="仿宋_GB2312"/>
                <w:sz w:val="18"/>
              </w:rPr>
              <w:t>独立包装；质量符合国家标准</w:t>
            </w:r>
            <w:r>
              <w:rPr>
                <w:rFonts w:ascii="仿宋_GB2312" w:hAnsi="仿宋_GB2312" w:cs="仿宋_GB2312" w:eastAsia="仿宋_GB2312"/>
                <w:sz w:val="18"/>
              </w:rPr>
              <w:t>GB/T1355-2021精制粉标准要求（须提供产品的检验报告）；便于运输、储存，外包装上必须标明生产日期、保质期、执行标准、储存条件、生产厂家、产地等。</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3）食用油</w:t>
            </w:r>
          </w:p>
          <w:p>
            <w:pPr>
              <w:pStyle w:val="null3"/>
              <w:jc w:val="left"/>
            </w:pPr>
            <w:r>
              <w:rPr>
                <w:rFonts w:ascii="仿宋_GB2312" w:hAnsi="仿宋_GB2312" w:cs="仿宋_GB2312" w:eastAsia="仿宋_GB2312"/>
                <w:sz w:val="18"/>
              </w:rPr>
              <w:t>等级与工艺必须为国标一级及以上（须提供具有国家或地方权威部门出具的产品的检验报告），且明确要求非转基因、物理压榨菜籽油；必须是预包装（非散装），外包装上必须标明注册商标、生产日期、保质期、</w:t>
            </w:r>
            <w:r>
              <w:rPr>
                <w:rFonts w:ascii="仿宋_GB2312" w:hAnsi="仿宋_GB2312" w:cs="仿宋_GB2312" w:eastAsia="仿宋_GB2312"/>
                <w:sz w:val="18"/>
              </w:rPr>
              <w:t>QS/SC认证标志、储存条件、生产厂家、产地等。</w:t>
            </w:r>
          </w:p>
          <w:p>
            <w:pPr>
              <w:pStyle w:val="null3"/>
              <w:jc w:val="left"/>
            </w:pPr>
            <w:r>
              <w:rPr>
                <w:rFonts w:ascii="仿宋_GB2312" w:hAnsi="仿宋_GB2312" w:cs="仿宋_GB2312" w:eastAsia="仿宋_GB2312"/>
                <w:sz w:val="18"/>
              </w:rPr>
              <w:t>4、严格按照采购人要求配送到校，因运输装卸过程中造成的损耗（例如包装严重变形、破损，食品污损等），发现的破损、腐败变质等食品必须无条件更换，并承诺不附加任何费用。</w:t>
            </w:r>
          </w:p>
          <w:p>
            <w:pPr>
              <w:pStyle w:val="null3"/>
              <w:jc w:val="left"/>
            </w:pPr>
            <w:r>
              <w:rPr>
                <w:rFonts w:ascii="仿宋_GB2312" w:hAnsi="仿宋_GB2312" w:cs="仿宋_GB2312" w:eastAsia="仿宋_GB2312"/>
                <w:sz w:val="18"/>
              </w:rPr>
              <w:t>5、配送数量、频率等要求须以合同中采购人规定的要求和标准执行。</w:t>
            </w:r>
          </w:p>
          <w:p>
            <w:pPr>
              <w:pStyle w:val="null3"/>
              <w:jc w:val="left"/>
            </w:pPr>
            <w:r>
              <w:rPr>
                <w:rFonts w:ascii="仿宋_GB2312" w:hAnsi="仿宋_GB2312" w:cs="仿宋_GB2312" w:eastAsia="仿宋_GB2312"/>
                <w:sz w:val="18"/>
              </w:rPr>
              <w:t>6、中标供应商投标的生产厂商须与最终供货的生产厂商保持一致。</w:t>
            </w:r>
          </w:p>
          <w:p>
            <w:pPr>
              <w:pStyle w:val="null3"/>
              <w:jc w:val="left"/>
            </w:pPr>
            <w:r>
              <w:rPr>
                <w:rFonts w:ascii="仿宋_GB2312" w:hAnsi="仿宋_GB2312" w:cs="仿宋_GB2312" w:eastAsia="仿宋_GB2312"/>
                <w:sz w:val="18"/>
              </w:rPr>
              <w:t>7、货物需求及服务要求：</w:t>
            </w:r>
          </w:p>
          <w:p>
            <w:pPr>
              <w:pStyle w:val="null3"/>
              <w:jc w:val="left"/>
            </w:pPr>
            <w:r>
              <w:rPr>
                <w:rFonts w:ascii="仿宋_GB2312" w:hAnsi="仿宋_GB2312" w:cs="仿宋_GB2312" w:eastAsia="仿宋_GB2312"/>
                <w:sz w:val="18"/>
              </w:rPr>
              <w:t>★7.1.投标产品必须符合国家食品卫生安全标准，投标供应商应遵守有关的国家法律、法令、条例和政府采购法规，承担相关法律责任；因涉及食品类产品，必须满足采购人保质、保鲜、就近配送条件；</w:t>
            </w:r>
          </w:p>
          <w:p>
            <w:pPr>
              <w:pStyle w:val="null3"/>
              <w:jc w:val="left"/>
            </w:pPr>
            <w:r>
              <w:rPr>
                <w:rFonts w:ascii="仿宋_GB2312" w:hAnsi="仿宋_GB2312" w:cs="仿宋_GB2312" w:eastAsia="仿宋_GB2312"/>
                <w:sz w:val="18"/>
              </w:rPr>
              <w:t>7.2. 学校有特殊安排的，按照学校安排执行。</w:t>
            </w:r>
          </w:p>
          <w:p>
            <w:pPr>
              <w:pStyle w:val="null3"/>
            </w:pPr>
            <w:r>
              <w:rPr>
                <w:rFonts w:ascii="仿宋_GB2312" w:hAnsi="仿宋_GB2312" w:cs="仿宋_GB2312" w:eastAsia="仿宋_GB2312"/>
                <w:sz w:val="18"/>
              </w:rPr>
              <w:t>7.3. 如果中标供应商在履行合同过程中，出现重大产品质量问题或配送不及时等问题，采购人可单方面终止合同，并要求中标供应商赔偿采购人的相应损失。</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2026年9月1日—2027年7月5日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2026年9月1日—2027年7月5日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采购人指定地点（运送到接收学校指定地点，经验收合格后摆放整齐）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采购人指定地点（运送到接收学校指定地点，经验收合格后摆放整齐）</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其他，（1）由采购人负责结算，在付款前，供应商必须开具全额发票给采购人 (附详细清单) 。 （2）付款方式：验收合格后据实结算，按月支付。（3）支付方式：银行转账，达到付款条件起30个工作日内，支付合同总金额的100.0%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其他，（1）由采购人负责结算，在付款前，供应商必须开具全额发票给采购人 (附详细清单) 。 （2）付款方式：验收合格后据实结算，按月支付。（3）支付方式：银行转账，达到付款条件起30个工作日内，支付合同总金额的100.0%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定型包装食品，检验包装标识是否标出品名、产地、厂名、生产日期、批号或者代号、规格、配方或者主要成份、保质期限、食用或者使用方法等，防止购进假冒伪劣产品，禁止“三无”产品进入；（2）主要食材中的定型包装食品，如米面油类，供应商需要提供三证，即生产厂家的卫生许可证（若非从厂家直接采购的还需同时提供供货单位的卫生许可证）复印件；批次产品卫生主管部门检验报告；送货人员的健康证明；（3）包装污秽不洁、严重破损、运输工具不洁等造成污染的产品不予验收入库；（4）非定型包装的食品（或原材料）需进行感官检查：若发现腐败变质、油脂酸度、霉变、生虫、不洁，混有异物或者其他感官性状异常现象，不得入库；未经卫生检验部门或者检验不合格的产品及其制品不得入库；掺假、掺杂、伪造的食品不得入库。（5）物资接收学校安排相关人员共同对所购食品原辅料的质量、数量进行核对验收，验收合格的及时入库，并在《原料购进验收单》上签字确认。不合格产品应及时退回供应商，同时做好验收记录。采购人可不定时抽查。（6）入库时，保管员清点入库物品的数量、规格，做到数量、规格、品种准确无误，入库时按不同的材质、规格、功能和要求，分类、分别储存，做到账物相符。（7）产品供应渠道正常、稳定且质量有保证，检验手续合法有效，具备完善的管理制度流程，确保食品安全，需提供检验报告等证明材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（1）定型包装食品，检验包装标识是否标出品名、产地、厂名、生产日期、批号或者代号、规格、配方或者主要成份、保质期限、食用或者使用方法等，防止购进假冒伪劣产品，禁止“三无”产品进入； （2）主要食材中的定型包装食品，如米面油类，供应商需要提供三证，即生产厂家的卫生许可证（若非从厂家直接采购的还需同时提供供货单位的卫生许可证）复印件；批次产品卫生主管部门检验报告；送货人员的健康证明；（3）包装污秽不洁、严重破损、运输工具不洁等造成污染的产品不予验收入库；（4）非定型包装的食品（或原材料）需进行感官检查：若发现腐败变质、油脂酸度、霉变、生虫、不洁，混有异物或者其他感官性状异常现象，不得入库；未经卫生检验部门或者检验不合格的产品及其制品不得入库；掺假、掺杂、伪造的食品不得入库。（5）物资接收学校安排相关人员共同对所购食品原辅料的质量、数量进行核对验收，验收合格的及时入库，并在《原料购进验收单》上签字确认。不合格产品应及时退回供应商，同时做好验收记录。采购人可不定时抽查。（6）入库时，保管员清点入库物品的数量、规格，做到数量、规格、品种准确无误，入库时按不同的材质、规格、功能和要求，分类、分别储存，做到账物相符。（7）产品供应渠道正常、稳定且质量有保证，检验手续合法有效，具备完善的管理制度流程，确保食品安全，需提供检验报告等证明材料。</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符合现行的国家标准或国家行政部门颁布的法律法规、规章制度等。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符合现行的国家标准或国家行政部门颁布的法律法规、规章制度等。</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详见采购合同附件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 3.响应文件中凡是需要法定代表人盖章之处，由分支机构参与磋商时，单位负责人均参照执行（法定代表人授权书由单位负责人签授）。4.本项目支付方式以合同为准。5.本项目“兼投不兼中”（注：供应商可以同时参与两个包投标，但最终只能中标其中一个包，中标顺序按照包号靠前顺序确定）。6.本项目★项中要求提供证明资料的须按照要求提供，未作要求的须提供承诺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投标人企业关系关联承诺书</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投标人企业关系关联承诺书</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投标人须提供符合《中华人民共和国政府采购法》第二十二条的规定的资格承诺函。</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投标人为代理商的提供有效的《食品经营许可证》或《仅销售预包装食品经营者备案表》及生产厂家《食品生产许可证》；投标人为生产厂家的提供有效的《食品生产许可证》。</w:t>
            </w:r>
          </w:p>
        </w:tc>
        <w:tc>
          <w:tcPr>
            <w:tcW w:type="dxa" w:w="1661"/>
          </w:tcPr>
          <w:p>
            <w:pPr>
              <w:pStyle w:val="null3"/>
            </w:pPr>
            <w:r>
              <w:rPr>
                <w:rFonts w:ascii="仿宋_GB2312" w:hAnsi="仿宋_GB2312" w:cs="仿宋_GB2312" w:eastAsia="仿宋_GB2312"/>
              </w:rPr>
              <w:t>投标人资格证明文件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投标人须提供符合《中华人民共和国政府采购法》第二十二条的规定的资格承诺函。</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投标人为代理商的提供有效的《食品经营许可证》或《仅销售预包装食品经营者备案表》及生产厂家《食品生产许可证》；投标人为生产厂家的提供有效的《食品生产许可证》。</w:t>
            </w:r>
          </w:p>
        </w:tc>
        <w:tc>
          <w:tcPr>
            <w:tcW w:type="dxa" w:w="1661"/>
          </w:tcPr>
          <w:p>
            <w:pPr>
              <w:pStyle w:val="null3"/>
            </w:pPr>
            <w:r>
              <w:rPr>
                <w:rFonts w:ascii="仿宋_GB2312" w:hAnsi="仿宋_GB2312" w:cs="仿宋_GB2312" w:eastAsia="仿宋_GB2312"/>
              </w:rPr>
              <w:t>投标人资格证明文件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4.评审委员会基于专业判断，认为供应商报价过低，有可能影响产品质量或者不能诚信履约的其他情形。相关法律法规对供应商报价有规定的，从其规定。 二、评审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审委员会依据专业经验，参考同类项目中标（成交）价格、类似产品市场价格水平、行业人工费用标准、国家有关部门指导行业协会发布的行业平均成本等情况，对报价合理性进行判断。 三、评审委员会提交的相关说明和证明材料，应当加盖供应商（法定名称）电子印章，在评审委员会要求的时间内通过项目电子化交易系统进行提交，否则提交的相关证明材料无效。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1.投标报价符合唯一性要求； 2.投标报价表填写符合要求； 3.计量单位、报价货币均符合磋商文件要求； 4.未超出采购预算或招标文件规定的最高限价。</w:t>
            </w:r>
          </w:p>
        </w:tc>
        <w:tc>
          <w:tcPr>
            <w:tcW w:type="dxa" w:w="1661"/>
          </w:tcPr>
          <w:p>
            <w:pPr>
              <w:pStyle w:val="null3"/>
            </w:pPr>
            <w:r>
              <w:rPr>
                <w:rFonts w:ascii="仿宋_GB2312" w:hAnsi="仿宋_GB2312" w:cs="仿宋_GB2312" w:eastAsia="仿宋_GB2312"/>
              </w:rPr>
              <w:t>开标一览表 分项报价表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投标人承诺书</w:t>
            </w:r>
          </w:p>
        </w:tc>
        <w:tc>
          <w:tcPr>
            <w:tcW w:type="dxa" w:w="3322"/>
          </w:tcPr>
          <w:p>
            <w:pPr>
              <w:pStyle w:val="null3"/>
            </w:pPr>
            <w:r>
              <w:rPr>
                <w:rFonts w:ascii="仿宋_GB2312" w:hAnsi="仿宋_GB2312" w:cs="仿宋_GB2312" w:eastAsia="仿宋_GB2312"/>
              </w:rPr>
              <w:t>1.完全理解并接受《投标人廉洁自律承诺书》内容； 2.完全理解并接受《投标人企业关系关联承诺书》内容； 3.完全理解并接受《承诺书》内容。</w:t>
            </w:r>
          </w:p>
        </w:tc>
        <w:tc>
          <w:tcPr>
            <w:tcW w:type="dxa" w:w="1661"/>
          </w:tcPr>
          <w:p>
            <w:pPr>
              <w:pStyle w:val="null3"/>
            </w:pPr>
            <w:r>
              <w:rPr>
                <w:rFonts w:ascii="仿宋_GB2312" w:hAnsi="仿宋_GB2312" w:cs="仿宋_GB2312" w:eastAsia="仿宋_GB2312"/>
              </w:rPr>
              <w:t>投标人廉洁自律承诺书 承诺书 投标人企业关系关联承诺书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无其他招标文件或法规明确规定响应无效的事项，没有不符合招标文件规定的被视为无效响应的其他条款。</w:t>
            </w:r>
          </w:p>
        </w:tc>
        <w:tc>
          <w:tcPr>
            <w:tcW w:type="dxa" w:w="1661"/>
          </w:tcPr>
          <w:p>
            <w:pPr>
              <w:pStyle w:val="null3"/>
            </w:pPr>
            <w:r>
              <w:rPr>
                <w:rFonts w:ascii="仿宋_GB2312" w:hAnsi="仿宋_GB2312" w:cs="仿宋_GB2312" w:eastAsia="仿宋_GB2312"/>
              </w:rPr>
              <w:t>技术规格偏离表 投标人认为有必要补充说明的事项</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4.评审委员会基于专业判断，认为供应商报价过低，有可能影响产品质量或者不能诚信履约的其他情形。相关法律法规对供应商报价有规定的，从其规定。 二、评审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审委员会依据专业经验，参考同类项目中标（成交）价格、类似产品市场价格水平、行业人工费用标准、国家有关部门指导行业协会发布的行业平均成本等情况，对报价合理性进行判断。 三、评审委员会提交的相关说明和证明材料，应当加盖供应商（法定名称）电子印章，在评审委员会要求的时间内通过项目电子化交易系统进行提交，否则提交的相关证明材料无效。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1.投标报价符合唯一性要求； 2.投标报价表填写符合要求； 3.计量单位、报价货币均符合磋商文件要求； 4.未超出采购预算或招标文件规定的最高限价。</w:t>
            </w:r>
          </w:p>
        </w:tc>
        <w:tc>
          <w:tcPr>
            <w:tcW w:type="dxa" w:w="1661"/>
          </w:tcPr>
          <w:p>
            <w:pPr>
              <w:pStyle w:val="null3"/>
            </w:pPr>
            <w:r>
              <w:rPr>
                <w:rFonts w:ascii="仿宋_GB2312" w:hAnsi="仿宋_GB2312" w:cs="仿宋_GB2312" w:eastAsia="仿宋_GB2312"/>
              </w:rPr>
              <w:t>开标一览表 分项报价表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投标人承诺书</w:t>
            </w:r>
          </w:p>
        </w:tc>
        <w:tc>
          <w:tcPr>
            <w:tcW w:type="dxa" w:w="3322"/>
          </w:tcPr>
          <w:p>
            <w:pPr>
              <w:pStyle w:val="null3"/>
            </w:pPr>
            <w:r>
              <w:rPr>
                <w:rFonts w:ascii="仿宋_GB2312" w:hAnsi="仿宋_GB2312" w:cs="仿宋_GB2312" w:eastAsia="仿宋_GB2312"/>
              </w:rPr>
              <w:t>1.完全理解并接受《投标人廉洁自律承诺书》内容； 2.完全理解并接受《投标人企业关系关联承诺书》内容； 3.完全理解并接受《承诺书》内容。</w:t>
            </w:r>
          </w:p>
        </w:tc>
        <w:tc>
          <w:tcPr>
            <w:tcW w:type="dxa" w:w="1661"/>
          </w:tcPr>
          <w:p>
            <w:pPr>
              <w:pStyle w:val="null3"/>
            </w:pPr>
            <w:r>
              <w:rPr>
                <w:rFonts w:ascii="仿宋_GB2312" w:hAnsi="仿宋_GB2312" w:cs="仿宋_GB2312" w:eastAsia="仿宋_GB2312"/>
              </w:rPr>
              <w:t>投标人廉洁自律承诺书 承诺书 投标人企业关系关联承诺书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无其他招标文件或法规明确规定响应无效的事项，没有不符合招标文件规定的被视为无效响应的其他条款。</w:t>
            </w:r>
          </w:p>
        </w:tc>
        <w:tc>
          <w:tcPr>
            <w:tcW w:type="dxa" w:w="1661"/>
          </w:tcPr>
          <w:p>
            <w:pPr>
              <w:pStyle w:val="null3"/>
            </w:pPr>
            <w:r>
              <w:rPr>
                <w:rFonts w:ascii="仿宋_GB2312" w:hAnsi="仿宋_GB2312" w:cs="仿宋_GB2312" w:eastAsia="仿宋_GB2312"/>
              </w:rPr>
              <w:t>技术规格偏离表 投标人认为有必要补充说明的事项</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投标人对投标文件质量保证、交货期、合同条款等商务要求进行响应，完全满足采购需求得3分，不满足或存在负偏离不得分。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（商务）合同条款偏离表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①整体实施方案； ②食材配送方案及供货时间保障； ③应急方案（包括应急配送方案及安全事故处理措施）； ④食材质量控制方案（包括食品和原材料各项指标保障）； ⑤售后服务措施及承诺。 二、评审标准 1、完善性：方案必须全面，对评审内容中的各项要求有详细阐述； 2、可实施性：切合本项目实际情况，提出步骤清晰、合理的方案； 3、针对性：方案能够紧扣项目实际情况，内容科学合理。 上述7项评审内容全部满足评审标准得20分，每有一个评审内容缺项扣4分，评审内容每存在一处缺陷扣1分，扣完为止。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仓储</w:t>
            </w:r>
          </w:p>
        </w:tc>
        <w:tc>
          <w:tcPr>
            <w:tcW w:type="dxa" w:w="2492"/>
          </w:tcPr>
          <w:p>
            <w:pPr>
              <w:pStyle w:val="null3"/>
            </w:pPr>
            <w:r>
              <w:rPr>
                <w:rFonts w:ascii="仿宋_GB2312" w:hAnsi="仿宋_GB2312" w:cs="仿宋_GB2312" w:eastAsia="仿宋_GB2312"/>
              </w:rPr>
              <w:t>①投标人具备独立的仓储场地，仓库应卫生、通风阴凉、干燥、清洁、无异味，有完善的仓储管理制度，得2分； ②仓库面积≥300平方米，得3分； 仓库面积≥500平方米，得6分。 提供证明资料：①自有库房提供产权证明；或租赁库房的提供租赁合同；②提供场地照片。</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投标人具备3辆厢式运输车，承诺车辆清洁、无异味，运输时不得与有毒、有害、有腐蚀性货物混装，运输中应注意轻装、轻卸、防雨、防晒，得6分； 投标人每增加1辆厢式运输车加2分，最多加4分。 提供证明资料：①自有车辆提供车辆购买发票及有效的车辆行驶证；租赁车辆提供租赁合同及有效的车辆行驶证；②拟投入车辆照片等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为本项目配备固定服务人员，含1名项目负责人，3名司机，1名服务人员。上述人员提供开标前一年内任意连续三个月的本单位社保缴纳证明及有效健康证，司机还需额外提供有效的驾驶证。 二、评审标准 人员配备齐全、全部佐证资料完整合规、无缺失无过期，得10分；人员资料存在任意一种缺项（人员缺岗、社保资料缺失、健康证过期或缺失、司机无有效驾驶证或不合格等）扣1分，扣完为止。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需提供本项目所需：①大米；②面粉；③食用油，共3种产品的合法正规来源渠道证明文件。每提供一种产品有效的合法来源渠道证明文件得2分，满分6分。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针对本项目提供合理化建议。 二、评审标准： 1.建议合理可以，贴合项目实际情况，有针对性，实操性强得3分； 2.建议符合项目方向，对项目的改善作用有限得2分； 3.虽有建议，缺乏可行性与实操性得1分； 4.未提供建议得0分。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投标人提供2023年6月1日至今类似项目业绩合同（以合同签订时间为准）；一个业绩得2分，最高得10分；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满足招标文件要求,以本次最低有效投标报价总价为基准价，其价格分为满分。 报价得分=（评审基准价／总报价）×30%×100。 符合招标文件规定的小微企业、监狱企业、残疾人福利性单位优惠条件的投标人，价格给予10%的扣除，用扣除后的价格参与评审。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提供政府采购政策等证明材料</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投标人对投标文件质量保证、交货期、合同条款等商务要求进行响应，完全满足采购需求得3分，不满足或存在负偏离不得分。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（商务）合同条款偏离表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①整体实施方案； ②食材配送方案及供货时间保障； ③应急方案（包括应急配送方案及安全事故处理措施）； ④食材质量控制方案（包括食品和原材料各项指标保障）； ⑤售后服务措施及承诺。 二、评审标准 1、完善性：方案必须全面，对评审内容中的各项要求有详细阐述； 2、可实施性：切合本项目实际情况，提出步骤清晰、合理的方案； 3、针对性：方案能够紧扣项目实际情况，内容科学合理。 上述7项评审内容全部满足评审标准得20分，每有一个评审内容缺项扣4分，评审内容每存在一处缺陷扣1分，扣完为止。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仓储</w:t>
            </w:r>
          </w:p>
        </w:tc>
        <w:tc>
          <w:tcPr>
            <w:tcW w:type="dxa" w:w="2492"/>
          </w:tcPr>
          <w:p>
            <w:pPr>
              <w:pStyle w:val="null3"/>
            </w:pPr>
            <w:r>
              <w:rPr>
                <w:rFonts w:ascii="仿宋_GB2312" w:hAnsi="仿宋_GB2312" w:cs="仿宋_GB2312" w:eastAsia="仿宋_GB2312"/>
              </w:rPr>
              <w:t>①投标人具备独立的仓储场地，仓库应卫生、通风阴凉、干燥、清洁、无异味，有完善的仓储管理制度，得2分； ②仓库面积≥300平方米，得3分； 仓库面积≥500平方米，得6分。 提供证明资料：①自有库房提供产权证明；或租赁库房的提供租赁合同；②提供场地照片。</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投标人具备3辆厢式运输车，承诺车辆清洁、无异味，运输时不得与有毒、有害、有腐蚀性货物混装，运输中应注意轻装、轻卸、防雨、防晒，得6分； 投标人每增加1辆厢式运输车加2分，最多加4分。 提供证明资料：①自有车辆提供车辆购买发票及有效的车辆行驶证；租赁车辆提供租赁合同及有效的车辆行驶证；②拟投入车辆照片等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为本项目配备固定服务人员，含1名项目负责人，3名司机，1名服务人员。上述人员提供开标前一年内任意连续三个月的本单位社保缴纳证明及有效健康证，司机还需额外提供有效的驾驶证。 二、评审标准 人员配备齐全、全部佐证资料完整合规、无缺失无过期，得10分；人员资料存在任意一种缺项（人员缺岗、社保资料缺失、健康证过期或缺失、司机无有效驾驶证或不合格等）扣1分，扣完为止。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需提供本项目所需：①大米；②面粉；③食用油，共3种产品的合法正规来源渠道证明文件。每提供一种产品有效的合法来源渠道证明文件得2分，满分6分。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针对本项目提供合理化建议。 二、评审标准： 1.建议合理可以，贴合项目实际情况，有针对性，实操性强得3分； 2.建议符合项目方向，对项目的改善作用有限得2分； 3.虽有建议，缺乏可行性与实操性得1分； 4.未提供建议得0分。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投标人提供2023年6月1日至今类似项目业绩合同（以合同签订时间为准）；一个业绩得2分，最高得10分；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满足招标文件要求,以本次最低有效投标报价总价为基准价，其价格分为满分。 报价得分=（评审基准价／总报价）×30%×100。 符合招标文件规定的小微企业、监狱企业、残疾人福利性单位优惠条件的投标人，价格给予10%的扣除，用扣除后的价格参与评审。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提供政府采购政策等证明材料</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详见附件：投标人资格证明文件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详见附件：（商务）合同条款偏离表</w:t>
      </w:r>
    </w:p>
    <w:p>
      <w:pPr>
        <w:pStyle w:val="null3"/>
        <w:ind w:firstLine="960"/>
      </w:pPr>
      <w:r>
        <w:rPr>
          <w:rFonts w:ascii="仿宋_GB2312" w:hAnsi="仿宋_GB2312" w:cs="仿宋_GB2312" w:eastAsia="仿宋_GB2312"/>
        </w:rPr>
        <w:t>详见附件：技术规格偏离表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详见附件：投标人企业关系关联承诺书</w:t>
      </w:r>
    </w:p>
    <w:p>
      <w:pPr>
        <w:pStyle w:val="null3"/>
        <w:ind w:firstLine="960"/>
      </w:pPr>
      <w:r>
        <w:rPr>
          <w:rFonts w:ascii="仿宋_GB2312" w:hAnsi="仿宋_GB2312" w:cs="仿宋_GB2312" w:eastAsia="仿宋_GB2312"/>
        </w:rPr>
        <w:t>详见附件：投标人廉洁自律承诺书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详见附件：投标人认为有必要补充说明的事项</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详见附件：投标人资格证明文件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详见附件：（商务）合同条款偏离表</w:t>
      </w:r>
    </w:p>
    <w:p>
      <w:pPr>
        <w:pStyle w:val="null3"/>
        <w:ind w:firstLine="960"/>
      </w:pPr>
      <w:r>
        <w:rPr>
          <w:rFonts w:ascii="仿宋_GB2312" w:hAnsi="仿宋_GB2312" w:cs="仿宋_GB2312" w:eastAsia="仿宋_GB2312"/>
        </w:rPr>
        <w:t>详见附件：技术规格偏离表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详见附件：投标人企业关系关联承诺书</w:t>
      </w:r>
    </w:p>
    <w:p>
      <w:pPr>
        <w:pStyle w:val="null3"/>
        <w:ind w:firstLine="960"/>
      </w:pPr>
      <w:r>
        <w:rPr>
          <w:rFonts w:ascii="仿宋_GB2312" w:hAnsi="仿宋_GB2312" w:cs="仿宋_GB2312" w:eastAsia="仿宋_GB2312"/>
        </w:rPr>
        <w:t>详见附件：投标人廉洁自律承诺书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详见附件：投标人认为有必要补充说明的事项</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