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版本号：WYZFCG-202600220260603002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校园基础设施综合维修改造工程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WYZFCG-2026002</w:t>
      </w:r>
      <w:r>
        <w:br/>
      </w:r>
      <w:r>
        <w:br/>
      </w:r>
      <w:r>
        <w:br/>
      </w:r>
    </w:p>
    <w:p>
      <w:pPr>
        <w:pStyle w:val="null3"/>
        <w:jc w:val="center"/>
        <w:outlineLvl w:val="2"/>
      </w:pPr>
      <w:r>
        <w:rPr>
          <w:rFonts w:ascii="仿宋_GB2312" w:hAnsi="仿宋_GB2312" w:cs="仿宋_GB2312" w:eastAsia="仿宋_GB2312"/>
          <w:sz w:val="28"/>
          <w:b/>
        </w:rPr>
        <w:t>铜川市王益区红旗街幼儿园</w:t>
      </w:r>
    </w:p>
    <w:p>
      <w:pPr>
        <w:pStyle w:val="null3"/>
        <w:jc w:val="center"/>
        <w:outlineLvl w:val="2"/>
      </w:pPr>
      <w:r>
        <w:rPr>
          <w:rFonts w:ascii="仿宋_GB2312" w:hAnsi="仿宋_GB2312" w:cs="仿宋_GB2312" w:eastAsia="仿宋_GB2312"/>
          <w:sz w:val="28"/>
          <w:b/>
        </w:rPr>
        <w:t>铜川市王益区政府采购中心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铜川市王益区政府采购中心</w:t>
      </w:r>
      <w:r>
        <w:rPr>
          <w:rFonts w:ascii="仿宋_GB2312" w:hAnsi="仿宋_GB2312" w:cs="仿宋_GB2312" w:eastAsia="仿宋_GB2312"/>
        </w:rPr>
        <w:t>（以下简称“代理机构”）受</w:t>
      </w:r>
      <w:r>
        <w:rPr>
          <w:rFonts w:ascii="仿宋_GB2312" w:hAnsi="仿宋_GB2312" w:cs="仿宋_GB2312" w:eastAsia="仿宋_GB2312"/>
        </w:rPr>
        <w:t>铜川市王益区红旗街幼儿园</w:t>
      </w:r>
      <w:r>
        <w:rPr>
          <w:rFonts w:ascii="仿宋_GB2312" w:hAnsi="仿宋_GB2312" w:cs="仿宋_GB2312" w:eastAsia="仿宋_GB2312"/>
        </w:rPr>
        <w:t>委托，拟对</w:t>
      </w:r>
      <w:r>
        <w:rPr>
          <w:rFonts w:ascii="仿宋_GB2312" w:hAnsi="仿宋_GB2312" w:cs="仿宋_GB2312" w:eastAsia="仿宋_GB2312"/>
        </w:rPr>
        <w:t>校园基础设施综合维修改造工程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WYZFCG-2026002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校园基础设施综合维修改造工程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1.拆除教学楼⼀⾄三楼12个教室及3个卫⽣间和保健室松动、变形的⻰⻣及吊顶，重新安装加固⻰⻣与吊顶材料，修复局部破损区域，安装紫外线消毒灯及平板灯。 2.对教学楼四楼楼道墙体裂缝进⾏灌浆加固处理，铲除空⿎、⻛化墙⾯，重新找平、粉刷，恢复墙体结构稳定性与完整性。 3.对教学楼四楼过道加装墙群及⽂化建设，⾛廊天花天花吊顶，更换11个部室⻔。 4.拆除⽼旧⼴播线路、扬声器及主机，新铺设⾳频线缆，更换扬声器、功放及主机控制设备。 5.更换⽼化模糊摄像头31个，修护⻔房及隔离室。 6.拆除升旗台脱落开裂瓷砖、⻛化墙板，清理基层并进⾏结构加固处理，修复裂缝。 7.重新铺贴防滑耐磨瓷砖与装饰墙板，恢复台⾯及⽴⾯完整性、抗⻛化处理。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采购包1（校园基础设施综合维修改造工程）：属于专门面向中小企业采购。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1、营业执照等主体资格证明文件：具有独立承担民事责任的能力，提供法人或者其他组织的营业执照等证明文件，自然人参与的提供其身份证明</w:t>
      </w:r>
    </w:p>
    <w:p>
      <w:pPr>
        <w:pStyle w:val="null3"/>
      </w:pPr>
      <w:r>
        <w:rPr>
          <w:rFonts w:ascii="仿宋_GB2312" w:hAnsi="仿宋_GB2312" w:cs="仿宋_GB2312" w:eastAsia="仿宋_GB2312"/>
        </w:rPr>
        <w:t>2、法定代表人身份证明或法定代表人授权委托书：法定代表人身份证明或法定代表人授权委托书：法定代表人授权书委托书（附法定代表人及被授权人身份证复印件）（如法定代表人直接投标只须提交法定代表人身份证明并附身份证复印件）</w:t>
      </w:r>
    </w:p>
    <w:p>
      <w:pPr>
        <w:pStyle w:val="null3"/>
      </w:pPr>
      <w:r>
        <w:rPr>
          <w:rFonts w:ascii="仿宋_GB2312" w:hAnsi="仿宋_GB2312" w:cs="仿宋_GB2312" w:eastAsia="仿宋_GB2312"/>
        </w:rPr>
        <w:t>3、财务状况报告：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p>
      <w:pPr>
        <w:pStyle w:val="null3"/>
      </w:pPr>
      <w:r>
        <w:rPr>
          <w:rFonts w:ascii="仿宋_GB2312" w:hAnsi="仿宋_GB2312" w:cs="仿宋_GB2312" w:eastAsia="仿宋_GB2312"/>
        </w:rPr>
        <w:t>4、纳税证明：提供2025年06月01日至今任意一个月的完税凭证或税务机关开具的完税证明（任意税种），依法免税的应提供相关文件证明</w:t>
      </w:r>
    </w:p>
    <w:p>
      <w:pPr>
        <w:pStyle w:val="null3"/>
      </w:pPr>
      <w:r>
        <w:rPr>
          <w:rFonts w:ascii="仿宋_GB2312" w:hAnsi="仿宋_GB2312" w:cs="仿宋_GB2312" w:eastAsia="仿宋_GB2312"/>
        </w:rPr>
        <w:t>5、社会保障资金缴纳证明：提供2025年06月01日至今任意一个月的依法缴纳社会保障资金的证明材料（依法不需要缴纳社会保障资金的单位应提供相关证明材料）；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6、无重大违法记录：参加政府采购活动前三年内，在经营活动中没有重大违法记录（提供书面声明函）；</w:t>
      </w:r>
    </w:p>
    <w:p>
      <w:pPr>
        <w:pStyle w:val="null3"/>
      </w:pPr>
      <w:r>
        <w:rPr>
          <w:rFonts w:ascii="仿宋_GB2312" w:hAnsi="仿宋_GB2312" w:cs="仿宋_GB2312" w:eastAsia="仿宋_GB2312"/>
        </w:rPr>
        <w:t>7、履约能力：出具具备履行合同所必需的设备和专业技术能力的书面声明</w:t>
      </w:r>
    </w:p>
    <w:p>
      <w:pPr>
        <w:pStyle w:val="null3"/>
      </w:pPr>
      <w:r>
        <w:rPr>
          <w:rFonts w:ascii="仿宋_GB2312" w:hAnsi="仿宋_GB2312" w:cs="仿宋_GB2312" w:eastAsia="仿宋_GB2312"/>
        </w:rPr>
        <w:t>8、企业关联关系：单位负责人为同一人或者存在直接控股、管理关系的不同供应商不得同时参加本项目磋商</w:t>
      </w:r>
    </w:p>
    <w:p>
      <w:pPr>
        <w:pStyle w:val="null3"/>
      </w:pPr>
      <w:r>
        <w:rPr>
          <w:rFonts w:ascii="仿宋_GB2312" w:hAnsi="仿宋_GB2312" w:cs="仿宋_GB2312" w:eastAsia="仿宋_GB2312"/>
        </w:rPr>
        <w:t>9、信用查询：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10、企业资质：1、具有建筑工程施工总承包三级及以上（含三级）资质，或建筑装修装饰工程专业承包二级及以上（含二级）资质；2、具有有效的安全生产许可证</w:t>
      </w:r>
    </w:p>
    <w:p>
      <w:pPr>
        <w:pStyle w:val="null3"/>
      </w:pPr>
      <w:r>
        <w:rPr>
          <w:rFonts w:ascii="仿宋_GB2312" w:hAnsi="仿宋_GB2312" w:cs="仿宋_GB2312" w:eastAsia="仿宋_GB2312"/>
        </w:rPr>
        <w:t>11、项目负责人：拟派项目经理需具备建筑工程专业二级及以上（含二级）注册建造师资格，具备有效的安全生产考核合格证（B证）且本单位注册，无其他在建工程（提供无在建承诺）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铜川市王益区红旗街幼儿园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铜川市王益区红旗街育才路香坊巷1号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铜川市王益区红旗街幼儿园经办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15319885606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铜川市王益区政府采购中心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铜川市王益区七一路街道11号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吴喜玲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13909194719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采购包1：812,711.85元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铜川市王益区红旗街幼儿园</w:t>
      </w:r>
      <w:r>
        <w:rPr>
          <w:rFonts w:ascii="仿宋_GB2312" w:hAnsi="仿宋_GB2312" w:cs="仿宋_GB2312" w:eastAsia="仿宋_GB2312"/>
        </w:rPr>
        <w:t>和</w:t>
      </w:r>
      <w:r>
        <w:rPr>
          <w:rFonts w:ascii="仿宋_GB2312" w:hAnsi="仿宋_GB2312" w:cs="仿宋_GB2312" w:eastAsia="仿宋_GB2312"/>
        </w:rPr>
        <w:t>铜川市王益区政府采购中心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铜川市王益区红旗街幼儿园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铜川市王益区政府采购中心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铜川市王益区红旗街幼儿园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铜川市王益区政府采购中心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1）验收组织⽅式：⾃⾏验收 2）是否邀请本项⽬的其他供应商：否 3）是否邀请专家：否 4）是否邀请服务对象：是 5）是否邀请第三⽅检测机构：否 6）履约验收程序：⼀次性验收 7）履约验收时间： 供应商提出验收申请之⽇起14⽇内组织验收 8）履约验收标准：质量必须达到国家及⾏业现⾏技术规范标准，达到合格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铜川市王益区政府采购中心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铜川市王益区政府采购中心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铜川市王益区政府采购中心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联系人：吴喜玲</w:t>
      </w:r>
    </w:p>
    <w:p>
      <w:pPr>
        <w:pStyle w:val="null3"/>
      </w:pPr>
      <w:r>
        <w:rPr>
          <w:rFonts w:ascii="仿宋_GB2312" w:hAnsi="仿宋_GB2312" w:cs="仿宋_GB2312" w:eastAsia="仿宋_GB2312"/>
        </w:rPr>
        <w:t>联系电话：13909194719</w:t>
      </w:r>
    </w:p>
    <w:p>
      <w:pPr>
        <w:pStyle w:val="null3"/>
      </w:pPr>
      <w:r>
        <w:rPr>
          <w:rFonts w:ascii="仿宋_GB2312" w:hAnsi="仿宋_GB2312" w:cs="仿宋_GB2312" w:eastAsia="仿宋_GB2312"/>
        </w:rPr>
        <w:t>地址：铜川市王益区七一路街道11号</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812,711.85</w:t>
      </w:r>
    </w:p>
    <w:p>
      <w:pPr>
        <w:pStyle w:val="null3"/>
      </w:pPr>
      <w:r>
        <w:rPr>
          <w:rFonts w:ascii="仿宋_GB2312" w:hAnsi="仿宋_GB2312" w:cs="仿宋_GB2312" w:eastAsia="仿宋_GB2312"/>
        </w:rPr>
        <w:t>采购包最高限价（元）: 812,711.85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校园基础设施综合维修改造工程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812,711.85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标的名称：校园基础设施综合维修改造工程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具体工程内容详见工程量清单（见附件）</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41"/>
              <w:jc w:val="left"/>
            </w:pPr>
            <w:r>
              <w:rPr>
                <w:rFonts w:ascii="仿宋_GB2312" w:hAnsi="仿宋_GB2312" w:cs="仿宋_GB2312" w:eastAsia="仿宋_GB2312"/>
                <w:sz w:val="24"/>
              </w:rPr>
              <w:t>一、项目</w:t>
            </w:r>
            <w:r>
              <w:rPr>
                <w:rFonts w:ascii="仿宋_GB2312" w:hAnsi="仿宋_GB2312" w:cs="仿宋_GB2312" w:eastAsia="仿宋_GB2312"/>
                <w:sz w:val="24"/>
              </w:rPr>
              <w:t>概况</w:t>
            </w:r>
            <w:r>
              <w:rPr>
                <w:rFonts w:ascii="仿宋_GB2312" w:hAnsi="仿宋_GB2312" w:cs="仿宋_GB2312" w:eastAsia="仿宋_GB2312"/>
                <w:sz w:val="24"/>
              </w:rPr>
              <w:t xml:space="preserve"> </w:t>
            </w:r>
          </w:p>
          <w:p>
            <w:pPr>
              <w:pStyle w:val="null3"/>
              <w:ind w:firstLine="241"/>
              <w:jc w:val="left"/>
            </w:pPr>
            <w:r>
              <w:rPr>
                <w:rFonts w:ascii="仿宋_GB2312" w:hAnsi="仿宋_GB2312" w:cs="仿宋_GB2312" w:eastAsia="仿宋_GB2312"/>
                <w:sz w:val="24"/>
              </w:rPr>
              <w:t>1.拆除教学楼一至三楼12个教室及3个卫生间和保健室松动、变形的龙骨及吊顶，重新安装加固龙骨与吊顶材料，修复局部破损区域，安装紫外线消毒灯及平板灯。</w:t>
            </w:r>
          </w:p>
          <w:p>
            <w:pPr>
              <w:pStyle w:val="null3"/>
              <w:ind w:firstLine="241"/>
              <w:jc w:val="left"/>
            </w:pPr>
            <w:r>
              <w:rPr>
                <w:rFonts w:ascii="仿宋_GB2312" w:hAnsi="仿宋_GB2312" w:cs="仿宋_GB2312" w:eastAsia="仿宋_GB2312"/>
                <w:sz w:val="24"/>
              </w:rPr>
              <w:t>2.对教学楼四楼楼道墙体裂缝进行灌浆加固处理，铲除空鼓、风化墙面，重新找平、粉刷，恢复墙体结构稳定性与完整性。</w:t>
            </w:r>
          </w:p>
          <w:p>
            <w:pPr>
              <w:pStyle w:val="null3"/>
              <w:ind w:firstLine="241"/>
              <w:jc w:val="left"/>
            </w:pPr>
            <w:r>
              <w:rPr>
                <w:rFonts w:ascii="仿宋_GB2312" w:hAnsi="仿宋_GB2312" w:cs="仿宋_GB2312" w:eastAsia="仿宋_GB2312"/>
                <w:sz w:val="24"/>
              </w:rPr>
              <w:t>3.对教学楼四楼过道加装墙群及文化建设，走廊天花天花吊顶，更换11个部室门。</w:t>
            </w:r>
          </w:p>
          <w:p>
            <w:pPr>
              <w:pStyle w:val="null3"/>
              <w:ind w:firstLine="241"/>
              <w:jc w:val="left"/>
            </w:pPr>
            <w:r>
              <w:rPr>
                <w:rFonts w:ascii="仿宋_GB2312" w:hAnsi="仿宋_GB2312" w:cs="仿宋_GB2312" w:eastAsia="仿宋_GB2312"/>
                <w:sz w:val="24"/>
              </w:rPr>
              <w:t>4.拆除老旧广播线路、扬声器及主机，新铺设音频线缆，更换扬声器、功放及主机控制设备。</w:t>
            </w:r>
          </w:p>
          <w:p>
            <w:pPr>
              <w:pStyle w:val="null3"/>
              <w:ind w:firstLine="241"/>
              <w:jc w:val="left"/>
            </w:pPr>
            <w:r>
              <w:rPr>
                <w:rFonts w:ascii="仿宋_GB2312" w:hAnsi="仿宋_GB2312" w:cs="仿宋_GB2312" w:eastAsia="仿宋_GB2312"/>
                <w:sz w:val="24"/>
              </w:rPr>
              <w:t>5.更换老化模糊摄像头31个，修护门房及隔离室。</w:t>
            </w:r>
          </w:p>
          <w:p>
            <w:pPr>
              <w:pStyle w:val="null3"/>
              <w:ind w:firstLine="241"/>
              <w:jc w:val="left"/>
            </w:pPr>
            <w:r>
              <w:rPr>
                <w:rFonts w:ascii="仿宋_GB2312" w:hAnsi="仿宋_GB2312" w:cs="仿宋_GB2312" w:eastAsia="仿宋_GB2312"/>
                <w:sz w:val="24"/>
              </w:rPr>
              <w:t>6.拆除升旗台脱落开裂瓷砖、风化墙板，清理基层并进行结构加固处理，修复裂缝。</w:t>
            </w:r>
          </w:p>
          <w:p>
            <w:pPr>
              <w:pStyle w:val="null3"/>
              <w:ind w:firstLine="241"/>
              <w:jc w:val="left"/>
            </w:pPr>
            <w:r>
              <w:rPr>
                <w:rFonts w:ascii="仿宋_GB2312" w:hAnsi="仿宋_GB2312" w:cs="仿宋_GB2312" w:eastAsia="仿宋_GB2312"/>
                <w:sz w:val="24"/>
              </w:rPr>
              <w:t>7.重新铺贴防滑耐磨瓷砖与装饰墙板，恢复台面及立面完整性、抗风化处理。</w:t>
            </w:r>
          </w:p>
          <w:p>
            <w:pPr>
              <w:pStyle w:val="null3"/>
              <w:ind w:firstLine="241"/>
              <w:jc w:val="left"/>
            </w:pPr>
            <w:r>
              <w:rPr>
                <w:rFonts w:ascii="仿宋_GB2312" w:hAnsi="仿宋_GB2312" w:cs="仿宋_GB2312" w:eastAsia="仿宋_GB2312"/>
                <w:sz w:val="24"/>
              </w:rPr>
              <w:t>二、工期目标</w:t>
            </w:r>
          </w:p>
          <w:p>
            <w:pPr>
              <w:pStyle w:val="null3"/>
              <w:ind w:firstLine="241"/>
              <w:jc w:val="left"/>
            </w:pPr>
            <w:r>
              <w:rPr>
                <w:rFonts w:ascii="仿宋_GB2312" w:hAnsi="仿宋_GB2312" w:cs="仿宋_GB2312" w:eastAsia="仿宋_GB2312"/>
                <w:sz w:val="24"/>
              </w:rPr>
              <w:t>本项目工期目标</w:t>
            </w:r>
            <w:r>
              <w:rPr>
                <w:rFonts w:ascii="仿宋_GB2312" w:hAnsi="仿宋_GB2312" w:cs="仿宋_GB2312" w:eastAsia="仿宋_GB2312"/>
                <w:sz w:val="24"/>
              </w:rPr>
              <w:t>37</w:t>
            </w:r>
            <w:r>
              <w:rPr>
                <w:rFonts w:ascii="仿宋_GB2312" w:hAnsi="仿宋_GB2312" w:cs="仿宋_GB2312" w:eastAsia="仿宋_GB2312"/>
                <w:sz w:val="24"/>
              </w:rPr>
              <w:t>日历天。</w:t>
            </w:r>
          </w:p>
          <w:p>
            <w:pPr>
              <w:pStyle w:val="null3"/>
              <w:ind w:firstLine="241"/>
              <w:jc w:val="left"/>
            </w:pPr>
            <w:r>
              <w:rPr>
                <w:rFonts w:ascii="仿宋_GB2312" w:hAnsi="仿宋_GB2312" w:cs="仿宋_GB2312" w:eastAsia="仿宋_GB2312"/>
                <w:sz w:val="24"/>
              </w:rPr>
              <w:t>各单位针对本项目的实际情况</w:t>
            </w:r>
            <w:r>
              <w:rPr>
                <w:rFonts w:ascii="仿宋_GB2312" w:hAnsi="仿宋_GB2312" w:cs="仿宋_GB2312" w:eastAsia="仿宋_GB2312"/>
                <w:sz w:val="24"/>
              </w:rPr>
              <w:t>,编制施工进度计划,合理安排施工,确保本工程工期目标的实现.</w:t>
            </w:r>
          </w:p>
          <w:p>
            <w:pPr>
              <w:pStyle w:val="null3"/>
              <w:ind w:firstLine="241"/>
              <w:jc w:val="left"/>
            </w:pPr>
            <w:r>
              <w:rPr>
                <w:rFonts w:ascii="仿宋_GB2312" w:hAnsi="仿宋_GB2312" w:cs="仿宋_GB2312" w:eastAsia="仿宋_GB2312"/>
                <w:sz w:val="24"/>
              </w:rPr>
              <w:t>三、质量目标：</w:t>
            </w:r>
            <w:r>
              <w:rPr>
                <w:rFonts w:ascii="仿宋_GB2312" w:hAnsi="仿宋_GB2312" w:cs="仿宋_GB2312" w:eastAsia="仿宋_GB2312"/>
                <w:sz w:val="24"/>
              </w:rPr>
              <w:t>质量必须达到国家及行业现行技术规范标准，符合国家及行业施工验收规范合格标准，并满足采购人要求。以及竞争性磋商文件规定的强制性质量和安全标准要求。</w:t>
            </w:r>
          </w:p>
          <w:p>
            <w:pPr>
              <w:pStyle w:val="null3"/>
              <w:ind w:firstLine="240"/>
              <w:jc w:val="left"/>
            </w:pPr>
            <w:r>
              <w:rPr>
                <w:rFonts w:ascii="仿宋_GB2312" w:hAnsi="仿宋_GB2312" w:cs="仿宋_GB2312" w:eastAsia="仿宋_GB2312"/>
                <w:sz w:val="24"/>
              </w:rPr>
              <w:t>四、安全目标：杜绝因施工造成的人员死亡及重伤事故，无机械设备、火灾、重大器材设备被盗等重大安全事故。</w:t>
            </w:r>
          </w:p>
          <w:p>
            <w:pPr>
              <w:pStyle w:val="null3"/>
              <w:ind w:firstLine="240"/>
              <w:jc w:val="left"/>
            </w:pPr>
            <w:r>
              <w:rPr>
                <w:rFonts w:ascii="仿宋_GB2312" w:hAnsi="仿宋_GB2312" w:cs="仿宋_GB2312" w:eastAsia="仿宋_GB2312"/>
                <w:sz w:val="24"/>
              </w:rPr>
              <w:t>五、文明施工目标</w:t>
            </w:r>
            <w:r>
              <w:br/>
            </w:r>
            <w:r>
              <w:rPr>
                <w:rFonts w:ascii="仿宋_GB2312" w:hAnsi="仿宋_GB2312" w:cs="仿宋_GB2312" w:eastAsia="仿宋_GB2312"/>
                <w:sz w:val="24"/>
              </w:rPr>
              <w:t xml:space="preserve">  严格按铜川市当地上级有关部门的文明施工管理规定组织施工，加强工程情况宣传，加强与政府部门及沿线人民群众的理解与支持，争创安全文明工地。</w:t>
            </w:r>
            <w:r>
              <w:br/>
            </w:r>
            <w:r>
              <w:rPr>
                <w:rFonts w:ascii="仿宋_GB2312" w:hAnsi="仿宋_GB2312" w:cs="仿宋_GB2312" w:eastAsia="仿宋_GB2312"/>
                <w:sz w:val="24"/>
              </w:rPr>
              <w:t xml:space="preserve">  六、环保目标</w:t>
            </w:r>
            <w:r>
              <w:br/>
            </w:r>
            <w:r>
              <w:rPr>
                <w:rFonts w:ascii="仿宋_GB2312" w:hAnsi="仿宋_GB2312" w:cs="仿宋_GB2312" w:eastAsia="仿宋_GB2312"/>
                <w:sz w:val="24"/>
              </w:rPr>
              <w:t xml:space="preserve">  确保无等级环保污染事故。</w:t>
            </w:r>
          </w:p>
          <w:p>
            <w:pPr>
              <w:pStyle w:val="null3"/>
              <w:ind w:firstLine="241"/>
              <w:jc w:val="left"/>
            </w:pPr>
            <w:r>
              <w:rPr>
                <w:rFonts w:ascii="仿宋_GB2312" w:hAnsi="仿宋_GB2312" w:cs="仿宋_GB2312" w:eastAsia="仿宋_GB2312"/>
                <w:sz w:val="24"/>
                <w:b/>
              </w:rPr>
              <w:t>七、技术标准和要求</w:t>
            </w:r>
          </w:p>
          <w:p>
            <w:pPr>
              <w:pStyle w:val="null3"/>
              <w:ind w:firstLine="240"/>
              <w:jc w:val="left"/>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w:t>
            </w:r>
          </w:p>
          <w:p>
            <w:pPr>
              <w:pStyle w:val="null3"/>
              <w:ind w:firstLine="240"/>
              <w:jc w:val="left"/>
            </w:pPr>
            <w:r>
              <w:rPr>
                <w:rFonts w:ascii="仿宋_GB2312" w:hAnsi="仿宋_GB2312" w:cs="仿宋_GB2312" w:eastAsia="仿宋_GB2312"/>
                <w:sz w:val="24"/>
              </w:rPr>
              <w:t>2.供应商在施工过程中使用或参考上述标准、规范以外的技术标准、规范时，应征得采购人的同意。</w:t>
            </w:r>
          </w:p>
          <w:p>
            <w:pPr>
              <w:pStyle w:val="null3"/>
              <w:ind w:firstLine="240"/>
              <w:jc w:val="left"/>
            </w:pPr>
            <w:r>
              <w:rPr>
                <w:rFonts w:ascii="仿宋_GB2312" w:hAnsi="仿宋_GB2312" w:cs="仿宋_GB2312" w:eastAsia="仿宋_GB2312"/>
                <w:sz w:val="24"/>
              </w:rPr>
              <w:t>3.在施工过程中，如果国家或有关部门颁布了新的技术标准或规范，则承包人应采用新的标准或规范进行施工。</w:t>
            </w:r>
          </w:p>
          <w:p>
            <w:pPr>
              <w:pStyle w:val="null3"/>
              <w:ind w:firstLine="240"/>
              <w:jc w:val="left"/>
            </w:pPr>
            <w:r>
              <w:rPr>
                <w:rFonts w:ascii="仿宋_GB2312" w:hAnsi="仿宋_GB2312" w:cs="仿宋_GB2312" w:eastAsia="仿宋_GB2312"/>
                <w:sz w:val="24"/>
              </w:rPr>
              <w:t>4.供应商应先充分了解工地位置、地质情况、进出场道路、拆迁干扰、储存空间、运输能力、装卸限制、行车干扰及任何其它足以影响承包价格的情况，了解设计施工规范、标准以及施工现场实际等情况，并应考虑现有人、材、机市场水平和供应、投标风险、不利的施工因素等，任何因忽视或误解工地情况而导致的索赔或工期延长申请将不获批准。</w:t>
            </w:r>
          </w:p>
          <w:p>
            <w:pPr>
              <w:pStyle w:val="null3"/>
              <w:ind w:firstLine="240"/>
              <w:jc w:val="left"/>
            </w:pPr>
            <w:r>
              <w:rPr>
                <w:rFonts w:ascii="仿宋_GB2312" w:hAnsi="仿宋_GB2312" w:cs="仿宋_GB2312" w:eastAsia="仿宋_GB2312"/>
                <w:sz w:val="24"/>
              </w:rPr>
              <w:t>5.供应商所提供的材料如需向第三方外购时，供应商应对质量负责，并提供相应的出厂和验收证明及相关技术文件。同时，还应满足本磋商文件、工程量清单、施工图纸中的相关技术要求。</w:t>
            </w:r>
          </w:p>
          <w:p>
            <w:pPr>
              <w:pStyle w:val="null3"/>
              <w:ind w:firstLine="240"/>
              <w:jc w:val="left"/>
            </w:pPr>
            <w:r>
              <w:rPr>
                <w:rFonts w:ascii="仿宋_GB2312" w:hAnsi="仿宋_GB2312" w:cs="仿宋_GB2312" w:eastAsia="仿宋_GB2312"/>
                <w:sz w:val="24"/>
              </w:rPr>
              <w:t>6.质量必须达到国家及行业现行技术规范标准，符合国家及行业施工验收规范合格标准，并满足采购人要求。以及竞争性磋商文件规定的强制性质量和安全标准要求。</w:t>
            </w:r>
          </w:p>
          <w:p>
            <w:pPr>
              <w:pStyle w:val="null3"/>
              <w:ind w:firstLine="240"/>
              <w:jc w:val="left"/>
            </w:pPr>
            <w:r>
              <w:rPr>
                <w:rFonts w:ascii="仿宋_GB2312" w:hAnsi="仿宋_GB2312" w:cs="仿宋_GB2312" w:eastAsia="仿宋_GB2312"/>
                <w:sz w:val="24"/>
              </w:rPr>
              <w:t>7.供应商成交后，磋商响应文件中拟派项目经理必须与施工时实际委派项目经理一致，采购人将在签署施工合同前查验项目经理相关资质、身份材料以及成交供应商为项目经理缴纳社保的缴费凭据。项目经理必须履职尽责，全程参与施工、例会、解决施工中的问题，严禁挂名挂证。</w:t>
            </w:r>
          </w:p>
          <w:p>
            <w:pPr>
              <w:pStyle w:val="null3"/>
              <w:ind w:firstLine="240"/>
              <w:jc w:val="left"/>
            </w:pPr>
            <w:r>
              <w:rPr>
                <w:rFonts w:ascii="仿宋_GB2312" w:hAnsi="仿宋_GB2312" w:cs="仿宋_GB2312" w:eastAsia="仿宋_GB2312"/>
                <w:sz w:val="24"/>
              </w:rPr>
              <w:t>8.本项目如涉及与政府部门（包含且不限于）环保、城管、规划等沟通协调或办理手续，费用及手续办理均由承包人负责，如因沟通协调及办理手续原因造成工期延误或费用增加等由承包人负责。</w:t>
            </w:r>
          </w:p>
          <w:p>
            <w:pPr>
              <w:pStyle w:val="null3"/>
              <w:ind w:firstLine="240"/>
              <w:jc w:val="left"/>
            </w:pPr>
            <w:r>
              <w:rPr>
                <w:rFonts w:ascii="仿宋_GB2312" w:hAnsi="仿宋_GB2312" w:cs="仿宋_GB2312" w:eastAsia="仿宋_GB2312"/>
                <w:sz w:val="24"/>
              </w:rPr>
              <w:t>9.施工过程中，供应商应制定详细可行的防污降噪处理措施，减少对周围环境的影响，每天施工结束后对施工现场进行清扫。</w:t>
            </w:r>
          </w:p>
          <w:p>
            <w:pPr>
              <w:pStyle w:val="null3"/>
              <w:ind w:firstLine="240"/>
              <w:jc w:val="left"/>
            </w:pPr>
            <w:r>
              <w:rPr>
                <w:rFonts w:ascii="仿宋_GB2312" w:hAnsi="仿宋_GB2312" w:cs="仿宋_GB2312" w:eastAsia="仿宋_GB2312"/>
                <w:sz w:val="24"/>
              </w:rPr>
              <w:t>10.承包人不得将其承包的工程转包给他人，也不得将其承包的工程以分包的名义转包给他人。</w:t>
            </w:r>
          </w:p>
          <w:p>
            <w:pPr>
              <w:pStyle w:val="null3"/>
              <w:ind w:firstLine="240"/>
              <w:jc w:val="left"/>
            </w:pPr>
            <w:r>
              <w:rPr>
                <w:rFonts w:ascii="仿宋_GB2312" w:hAnsi="仿宋_GB2312" w:cs="仿宋_GB2312" w:eastAsia="仿宋_GB2312"/>
                <w:sz w:val="24"/>
              </w:rPr>
              <w:t>11.为了确保工程建设的工程质量，防范和化解工程建设中的违法违规行为，应严格按照《陕西省建设工程工程量清单计价规范》及相关法律法规的规定，并结合本工程项目特点编制项目的实施方案和响应文件、备案和接受行政监督部门的监督。</w:t>
            </w:r>
          </w:p>
          <w:p>
            <w:pPr>
              <w:pStyle w:val="null3"/>
              <w:ind w:firstLine="240"/>
              <w:jc w:val="left"/>
            </w:pPr>
            <w:r>
              <w:rPr>
                <w:rFonts w:ascii="仿宋_GB2312" w:hAnsi="仿宋_GB2312" w:cs="仿宋_GB2312" w:eastAsia="仿宋_GB2312"/>
                <w:sz w:val="24"/>
              </w:rPr>
              <w:t>12.成交供应商负责支付拟派往本项目的所有人员的工资，为派往本项目的人员购买相关保险。</w:t>
            </w:r>
          </w:p>
          <w:p>
            <w:pPr>
              <w:pStyle w:val="null3"/>
              <w:ind w:firstLine="240"/>
              <w:jc w:val="left"/>
            </w:pPr>
            <w:r>
              <w:rPr>
                <w:rFonts w:ascii="仿宋_GB2312" w:hAnsi="仿宋_GB2312" w:cs="仿宋_GB2312" w:eastAsia="仿宋_GB2312"/>
                <w:sz w:val="24"/>
              </w:rPr>
              <w:t>13.本项目 缺陷责任期为一年。</w:t>
            </w:r>
          </w:p>
          <w:p>
            <w:pPr>
              <w:pStyle w:val="null3"/>
              <w:ind w:firstLine="241"/>
              <w:jc w:val="left"/>
            </w:pPr>
            <w:r>
              <w:rPr>
                <w:rFonts w:ascii="仿宋_GB2312" w:hAnsi="仿宋_GB2312" w:cs="仿宋_GB2312" w:eastAsia="仿宋_GB2312"/>
                <w:sz w:val="24"/>
                <w:b/>
                <w:color w:val="000000"/>
              </w:rPr>
              <w:t>八、本工程合同形式为固定综合单价合同。</w:t>
            </w:r>
          </w:p>
          <w:p>
            <w:pPr>
              <w:pStyle w:val="null3"/>
              <w:ind w:firstLine="240"/>
              <w:jc w:val="left"/>
            </w:pPr>
            <w:r>
              <w:rPr>
                <w:rFonts w:ascii="仿宋_GB2312" w:hAnsi="仿宋_GB2312" w:cs="仿宋_GB2312" w:eastAsia="仿宋_GB2312"/>
                <w:sz w:val="24"/>
                <w:color w:val="000000"/>
              </w:rPr>
              <w:t>1.本工程计价采用固定综合单价，各供应商依据企业自身情况自主报价、风险自负。所有投标报价中的单价和合价均以人民币表示。</w:t>
            </w:r>
          </w:p>
          <w:p>
            <w:pPr>
              <w:pStyle w:val="null3"/>
              <w:ind w:firstLine="240"/>
              <w:jc w:val="left"/>
            </w:pPr>
            <w:r>
              <w:rPr>
                <w:rFonts w:ascii="仿宋_GB2312" w:hAnsi="仿宋_GB2312" w:cs="仿宋_GB2312" w:eastAsia="仿宋_GB2312"/>
                <w:sz w:val="24"/>
                <w:color w:val="000000"/>
              </w:rPr>
              <w:t>2.各供应商对分部分项工程费、措施项目费、其他项目费等进行自主报价、风险自负。</w:t>
            </w:r>
          </w:p>
          <w:p>
            <w:pPr>
              <w:pStyle w:val="null3"/>
              <w:ind w:firstLine="240"/>
              <w:jc w:val="left"/>
            </w:pPr>
            <w:r>
              <w:rPr>
                <w:rFonts w:ascii="仿宋_GB2312" w:hAnsi="仿宋_GB2312" w:cs="仿宋_GB2312" w:eastAsia="仿宋_GB2312"/>
                <w:sz w:val="24"/>
                <w:color w:val="000000"/>
              </w:rPr>
              <w:t>3.招标工程量清单的工程项目仅表达了主要工程做法，报价时各投标单位应依据图纸、相关图集，结合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jc w:val="left"/>
            </w:pPr>
            <w:r>
              <w:rPr>
                <w:rFonts w:ascii="仿宋_GB2312" w:hAnsi="仿宋_GB2312" w:cs="仿宋_GB2312" w:eastAsia="仿宋_GB2312"/>
                <w:sz w:val="24"/>
                <w:color w:val="000000"/>
              </w:rPr>
              <w:t xml:space="preserve">   4.供应商在投标截止前修改投标函中的投标总报价，应同时修改“已标价工程量清单”中的相应报价。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5"/>
              <w:jc w:val="both"/>
            </w:pPr>
            <w:r>
              <w:rPr>
                <w:rFonts w:ascii="仿宋_GB2312" w:hAnsi="仿宋_GB2312" w:cs="仿宋_GB2312" w:eastAsia="仿宋_GB2312"/>
                <w:sz w:val="24"/>
                <w:shd w:fill="FFFFFF" w:val="clear"/>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w:t>
            </w:r>
          </w:p>
          <w:p>
            <w:pPr>
              <w:pStyle w:val="null3"/>
              <w:ind w:firstLine="425"/>
              <w:jc w:val="both"/>
            </w:pPr>
            <w:r>
              <w:rPr>
                <w:rFonts w:ascii="仿宋_GB2312" w:hAnsi="仿宋_GB2312" w:cs="仿宋_GB2312" w:eastAsia="仿宋_GB2312"/>
                <w:sz w:val="24"/>
                <w:shd w:fill="FFFFFF" w:val="clear"/>
              </w:rPr>
              <w:t>2、成交人应配合项目建设进度,向采购人提供施工组织计划、进度计划和施工作业计划，并签订施工安全责任书。</w:t>
            </w:r>
          </w:p>
          <w:p>
            <w:pPr>
              <w:pStyle w:val="null3"/>
              <w:jc w:val="left"/>
            </w:pPr>
            <w:r>
              <w:rPr>
                <w:rFonts w:ascii="仿宋_GB2312" w:hAnsi="仿宋_GB2312" w:cs="仿宋_GB2312" w:eastAsia="仿宋_GB2312"/>
                <w:sz w:val="24"/>
                <w:shd w:fill="FFFFFF" w:val="clear"/>
              </w:rPr>
              <w:t xml:space="preserve">  3、在施工期间，原有生态环境尽量不破坏，确需破坏的，要严格制定措施，尽量少破坏。</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⼀、验收标准:质量必须达到国家及⾏业现⾏技术规范标准，符合国家及⾏业施⼯验收规范 合格标准。 ⼆、验收⽅法:(1)在竣⼯后，成交供应商应向采购⼈提交⼯程竣⼯报告，申请⼯程竣⼯验收，并将施⼯过程中相关资料提交采购⼈。(2)采购⼈收到⼯程竣⼯报告后，对符合竣⼯验收要求的⼯程，组织相关单位组成验收组共同验收，签署⼯程竣⼯验收意⻅。 (3)验收合格后，采购⼈出具《⼯程竣⼯验收报告》，并在相关主管部⻔备案。</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一、保修范围:承包⼈在质量保修期内，按照有关法律规定和合同约定，承担⼯程质量保修责任。 二、质量保修期:质保期2年。质量保修期⾃⼯程竣⼯验收合格之⽇起计算。若供应商承诺质保期限超过磋商⽂件要求，按其承诺执⾏。 三、合同⽀付约定： 1、预付款，签订合同后，达到付款条件起15个⼯作⽇内，⽀付合同总⾦额的40.0% 2、进度款，项⽬完⼯后，达到付款条件起15个⼯作⽇内，⽀付合同总⾦额的50.0% 3、进度款，项⽬验收合格，审计结束后，达到付款条件起15个⼯作⽇内，⽀付合同总⾦额的10.0%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投标供应商应为满足要求的中型、小型或微型企业或监狱企业或残疾人福利性单位。中小微企业参加政府采购活动，应当出具《政府采购促进中小企业发展管理办法》（财库【2020】46号）规定的《中小企业声明函》，否则不得享受相关中小企业扶持政策。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不享受相关中小企业扶持政策。《财政部、民政部、中国残疾人联合会关于促进残疾人就业政府采购政策的通知》（财库〔2017〕141号）规定，在政府采购活动中，残疾人福利性单位视同小型、微型企业，享受预留份额、评审中价格扣除等促进中小企业发展的政府采购政策。残疾人福利性单位属于小型、微型企业的，不重复享受政策。符合条件的残疾人福利性单位在参加政府采购活动时，应当提供《财政部 民政部 中国残疾人联合会关于促进残疾人就业政府采购政策的通知》规定的《残疾人福利性单位声明函》，并对声明的真实性负责，未提供的不视为残疾人福利性单位，不视为小微企业，不享受相关中小企业扶持政策。各供应商应按实际情况慎重正确填写，对相关声明函的真实性负责，如有虚假需承担相关法律责任。 2.其他落实的政府采购政策:（1）《政府采购促进中小企业发展管理办法》（财库〔2020〕46号）；（2）财政部 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陕西省财政厅等三部门转发财政部、住房城乡建设部、工业和信息化部关于扩大政府采购绿色建材促进建筑品质提升政策实施范围的通知（陕财办采〔2022〕10号）；(13)其他需要落实的政府采购政策。 (如有最新颁布的政府采购政策，按最新的文件执行。如享受相关政策，需提供相关证明材料）。 3.企业规模划分标准按《工业和信息化部、国家统计局、国家发展和改革委员会、财政部关于印发&lt;中小企业划型标准规定&gt;的通知》（工信部联企业【2011】300 号）文件规定标准确认）。本项目所属行业为建筑业，供应商应根据工信部联企业【2011】 300 号文件中的划型标准按实际填写所属类型。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法定代表人身份证明或法定代表人授权委托书：法定代表人授权书委托书（附法定代表人及被授权人身份证复印件）（如法定代表人直接投标只须提交法定代表人身份证明并附身份证复印件）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提供2025年06月01日至今任意一个月的完税凭证或税务机关开具的完税证明（任意税种），依法免税的应提供相关文件证明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1、具有建筑工程施工总承包三级及以上（含三级）资质，或建筑装修装饰工程专业承包二级及以上（含二级）资质；2、具有有效的安全生产许可证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拟派项目经理需具备建筑工程专业二级及以上（含二级）注册建造师资格，具备有效的安全生产考核合格证（B证）且本单位注册，无其他在建工程（提供无在建承诺）</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 过低，有可能影响工程质量或者不能诚信履约的其他情形。4.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评审委员会依据专业经验，参考同类项目中标（成交）价格、类似项目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供应商不能证明其报价合理性的，磋商小组应当将其作为无效响应处理。5.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 响应文件的签署及格式：磋商文件要求必须响应的 内容齐全，有格式要求的应符合格式要求；要求签字或盖章的，按文件规定签字或盖章齐全； （2）报价唯一：只能有一个有效报价，不得提交选择性报价，且报价不超过采购预算和最高限价。 （3） 磋商文件响应的响应程度：要求全面响应，不能有任何采购人不能接受的附加条件； （4）拟提供的服务：应满足磋商文件提出的技术和服务要求。 （5）磋商有效期：应满足磋商文件中的规定； （6）工期和工程质量：应满足磋商文件中的规定。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拒绝政府采购领域商业贿赂承诺书.docx 报价函 标的清单 供应商资格证明文件.docx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：投标单位针对本项目提供完整、思路清晰合理的方案包括（①施工方案；②施工场地管理方案；③场地人员管理方案； ④文明施工技术组织措施；⑤文明施工、环境保护及“治污减霾”的保障措施。 二、评审标准：（共三项） 1）完整性：内容全面，对评审内容中的各要求有详细描述及说明； 2）可实施性：切合本项目实际情况，内容合理，可操作性强； 3)针对性：能够紧扣项目实际情况，内容贴合实际科学合理，有利于提高服务品质、效率，符合项目实际需求。 三、赋分依据： ①施工方案；每完全满足一项评审标准得1分，满分3分，不提供不得分； ②施工场地管理方案；每完全满足一项评审标准得1分，满分3分，不提供不得分； ③场地人员管理方案；每完全满足一项评审标准得1分，满分3分，不提供不得分； ④文明施工技术组织措施；每完全满足一项评审标准得1分，满分3分，不提供不得分； ⑤文明施工、环境保护及“治污减霾”的保障措施；每完全满足一项评审标准得1分，满分3 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质量目标及技术措施</w:t>
            </w:r>
          </w:p>
        </w:tc>
        <w:tc>
          <w:tcPr>
            <w:tcW w:type="dxa" w:w="2492"/>
          </w:tcPr>
          <w:p>
            <w:pPr>
              <w:pStyle w:val="null3"/>
            </w:pPr>
            <w:r>
              <w:rPr>
                <w:rFonts w:ascii="仿宋_GB2312" w:hAnsi="仿宋_GB2312" w:cs="仿宋_GB2312" w:eastAsia="仿宋_GB2312"/>
              </w:rPr>
              <w:t>一、评审内容 ：针对本项目有切实可行的①质量管理制度、管理体系与职责；②质量控制与质量检查方案 ；③确保工程质量的技术组织措施。 二、评审标准：（共三项） 1）完整性：内容全面，对评审内容中的各要求有详细描述及说明； 2）可实施性：切合本项目实际情况，内容合理，可操作性强； 3）针对性：能够紧扣项目实际情况，内容贴合实际科学合理，有利于提高服务品质、效率，符合项目实际需求。 三、赋分依据： ①质量管理制度、管理体系与职责；每完全满足一项评审标准得1分，满分3分，不提供不得分； ②质量控制与质量检查方案；每完全满足一项评审标准得1分，满分3分，不提供不得分； ③确保工程质量的技术组织措施；每完全满足一项评审标准得1分，满分3分,不提供不得分。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安全生产技术措施</w:t>
            </w:r>
          </w:p>
        </w:tc>
        <w:tc>
          <w:tcPr>
            <w:tcW w:type="dxa" w:w="2492"/>
          </w:tcPr>
          <w:p>
            <w:pPr>
              <w:pStyle w:val="null3"/>
            </w:pPr>
            <w:r>
              <w:rPr>
                <w:rFonts w:ascii="仿宋_GB2312" w:hAnsi="仿宋_GB2312" w:cs="仿宋_GB2312" w:eastAsia="仿宋_GB2312"/>
              </w:rPr>
              <w:t>一、评审内容：针对本项目有切实可行的 ①施工人员安全培训措施；②设施、设备安全检查措施；③安全施工保障措施。 二、评审标准：（共三项） 1）完整性：内容全面，对评审内容中的各要求有详细描述及说明； 2）可实施性：切合本项目实际情况，内容合理，可操作性强； 3）针对性：能够紧扣项目实际情况，内容贴合实际科学合理，有利于提高服务品质、效率，符合项目实际需求。 三、赋分依据： ①施工人员安全培训措施；每完全满足一项评审标准得1分，满分3分，不提供不得分； ②设施、设备安全检查措施；每完全满足一项评审标准得1分，满分3分，不提供不得分； ③安全施工保障措施；每完全满足一项评审标准得1分，满分3分，不提供不得分。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 人员数量、专业分工、机构健全等） 二、评审标准：（共三项） 1）完整性：内容全面，对评审内容中的各要求有详细描述及说明； 2）可实施性：切合本项目实际情况，内容合理，可操作性强； 3）针对性：能够紧扣项目实际情况，内容贴合实际科学合理，有利于提高服务品质、效率，符合项目实际需求。 三、赋分依据： ①项目管理机构配备计划；每完全满足一项评审标准得1分，满分3分，不提供不得分； ②人员岗位职责；每完全满足一项评审标准得1分，满分3分，不提供不得分； ③团队人员配备情况（人员数量、专业分工、机构健全等）；每完全满足一项评审标准得1分，满分3分，不提供不得分。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施工进度计划及保障措施</w:t>
            </w:r>
          </w:p>
        </w:tc>
        <w:tc>
          <w:tcPr>
            <w:tcW w:type="dxa" w:w="2492"/>
          </w:tcPr>
          <w:p>
            <w:pPr>
              <w:pStyle w:val="null3"/>
            </w:pPr>
            <w:r>
              <w:rPr>
                <w:rFonts w:ascii="仿宋_GB2312" w:hAnsi="仿宋_GB2312" w:cs="仿宋_GB2312" w:eastAsia="仿宋_GB2312"/>
              </w:rPr>
              <w:t>一、评审内容 针对本项目有切实可行的 ①进度计划安排； ②进度计划实施方案； ③确保工期的技术组织措施。 二、评审标准：（共三项） 1）完整性：内容全面，对评审内容中的各要求有详细描述及说明； 2）可实施性：切合本项目实际情况，内容合理，可操作性强； 3）针对性：能够紧扣项目实际情况，内容贴合实际科学合理，有利于提高服务品质、效率，符合项目实际 需求。 三、赋分依据： ①进度计划安排；每完全满足一项评审标准得1分，满分3分，不提供不得分； ②进度计划实施方案；每完全满足一项评审标准得1分，满分3分，不提供不得分； ③确保工期的技术组织措施；每完全满足一项评审标准得1分，满分3分，不提供不得分。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针对本项目有切实可行的 ①人员事故应急预案；②突发暴雪、大风、大雾等特殊天气的应急预案：③应急保障措施：确保应急资源充足有效，建立应急资金保障机制。 二、评审标准：（共三项） 1）完整性：内容全面，对评审内容中的各要求有详细描述及说明； 2）可实施性：切合本项目实际情况，内容合理，可操作性强； 3）针对性：能够紧扣项目实际情况，内容贴合实际科学合理，有利于提高服务品质、效率，符合项目实 际需求。 三、赋分依据： ①人员事故应急预案；每完全满足一项评审标准得1分，满分3分，不提供不得分； ②突发暴雪、大风、大雾等特殊天气的应急预案；每完全满足一项评审标准得1分，满分3分，不提供不得分。 ③应急保障措施每完全满足一项评审标准得得1分，满分3分，不提供不得分。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一、评审内容 供应商针对本项目的重点、难点分析及合理化建议有具体的分析和措施。 二、评审标准：（共三项） 1）完整性：内容全面，对评审内容中的各要求有详细描述及说明； 2）可实施性：切合本项目实际情况，内容合理，可操作性强； 3）针对性：能够紧扣项目实际情况，内容贴合实际科学合理，有利于提高服务品质、效率，符合项目实际需求。 三、赋分依据： ①供应商针对本项目的重点、难点分析及合理化建议；每完全满足一项评审标准得2分，满分6分，不提供不得分。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供应商提供近三年（2023年6月1日至今）已完类似项目业绩，每提供一个业绩得2分，本项最高得4分。（以合同复印件加盖供应商公章，以合同签订时间为准）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工程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统一采用低价优先法计算，即满足磋商文件要求且投标价格最低的投标报价为评标基准价，其价格分为满分。其他投标单位的价格分统一按照下列公式计算： 磋商报价得分=（磋商基准价/最后磋商报价）×价格权值×100%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