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998E5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0"/>
        <w:jc w:val="center"/>
        <w:rPr>
          <w:rFonts w:hint="eastAsia" w:ascii="宋体" w:hAnsi="宋体" w:eastAsia="宋体" w:cs="宋体"/>
          <w:b/>
          <w:bCs/>
          <w:i w:val="0"/>
          <w:iCs w:val="0"/>
          <w:caps w:val="0"/>
          <w:color w:val="333333"/>
          <w:spacing w:val="0"/>
          <w:sz w:val="39"/>
          <w:szCs w:val="39"/>
        </w:rPr>
      </w:pPr>
      <w:bookmarkStart w:id="0" w:name="_GoBack"/>
      <w:r>
        <w:rPr>
          <w:rFonts w:hint="eastAsia" w:ascii="宋体" w:hAnsi="宋体" w:eastAsia="宋体" w:cs="宋体"/>
          <w:b/>
          <w:bCs/>
          <w:i w:val="0"/>
          <w:iCs w:val="0"/>
          <w:caps w:val="0"/>
          <w:color w:val="333333"/>
          <w:spacing w:val="0"/>
          <w:sz w:val="39"/>
          <w:szCs w:val="39"/>
          <w:bdr w:val="none" w:color="auto" w:sz="0" w:space="0"/>
          <w:shd w:val="clear" w:fill="FFFFFF"/>
        </w:rPr>
        <w:t>磋商项目技术、服务、商务及其他要求</w:t>
      </w:r>
    </w:p>
    <w:bookmarkEnd w:id="0"/>
    <w:p w14:paraId="110B786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06C8F7B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3.1技术、服务标准和要求</w:t>
      </w:r>
    </w:p>
    <w:p w14:paraId="5954C30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14F16B4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采购包预算金额（元）: 1,070,000.00</w:t>
      </w:r>
    </w:p>
    <w:p w14:paraId="61589E7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采购包最高限价（元）: 1,069,659.97</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750"/>
        <w:gridCol w:w="2880"/>
        <w:gridCol w:w="699"/>
        <w:gridCol w:w="1945"/>
        <w:gridCol w:w="1136"/>
        <w:gridCol w:w="1136"/>
      </w:tblGrid>
      <w:tr w14:paraId="4B4ABB9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75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ADA4F4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150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D3ACF8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标的名称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D504DC7">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数量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FD5418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标的金额 （元）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B79AF3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计量单位</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0DDCDE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所属行业</w:t>
            </w:r>
          </w:p>
        </w:tc>
      </w:tr>
      <w:tr w14:paraId="2D9E03E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B871A3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C4B0EA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院本部教研室停车场维修</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C2F8BA2">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5D6E13A">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1,070,000.00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229445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4C8600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建筑业</w:t>
            </w:r>
          </w:p>
        </w:tc>
      </w:tr>
    </w:tbl>
    <w:p w14:paraId="56CBA50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一、技术、服务标准和要求：</w:t>
      </w:r>
    </w:p>
    <w:p w14:paraId="6343E2C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51B9558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标的名称：院本部教研室停车场维修</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20"/>
        <w:gridCol w:w="1221"/>
        <w:gridCol w:w="6105"/>
      </w:tblGrid>
      <w:tr w14:paraId="6111E72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C5C553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1E6E92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参数性质</w:t>
            </w:r>
          </w:p>
        </w:tc>
        <w:tc>
          <w:tcPr>
            <w:tcW w:w="2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5B421E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技术参数与性能指标</w:t>
            </w:r>
          </w:p>
        </w:tc>
      </w:tr>
      <w:tr w14:paraId="218078C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F4C228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54A2C83">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EC9D7A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Style w:val="8"/>
                <w:rFonts w:ascii="仿宋" w:hAnsi="仿宋" w:eastAsia="仿宋" w:cs="仿宋"/>
                <w:color w:val="000000"/>
                <w:sz w:val="22"/>
                <w:szCs w:val="22"/>
                <w:bdr w:val="none" w:color="auto" w:sz="0" w:space="0"/>
              </w:rPr>
              <w:t>1.</w:t>
            </w:r>
            <w:r>
              <w:rPr>
                <w:rStyle w:val="8"/>
                <w:rFonts w:hint="eastAsia" w:ascii="仿宋" w:hAnsi="仿宋" w:eastAsia="仿宋" w:cs="仿宋"/>
                <w:color w:val="000000"/>
                <w:sz w:val="22"/>
                <w:szCs w:val="22"/>
                <w:bdr w:val="none" w:color="auto" w:sz="0" w:space="0"/>
              </w:rPr>
              <w:t>工程条件</w:t>
            </w:r>
          </w:p>
          <w:p w14:paraId="630CFCA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2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1.1现场具备施工条件。</w:t>
            </w:r>
          </w:p>
          <w:p w14:paraId="7DEFC62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2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1.2人员、材料、设备全部由施工方自行负责。</w:t>
            </w:r>
          </w:p>
          <w:p w14:paraId="2E98C8A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2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1.3水、电设施齐全。</w:t>
            </w:r>
          </w:p>
          <w:p w14:paraId="374C19C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Style w:val="8"/>
                <w:rFonts w:hint="eastAsia" w:ascii="仿宋" w:hAnsi="仿宋" w:eastAsia="仿宋" w:cs="仿宋"/>
                <w:color w:val="000000"/>
                <w:sz w:val="22"/>
                <w:szCs w:val="22"/>
                <w:bdr w:val="none" w:color="auto" w:sz="0" w:space="0"/>
              </w:rPr>
              <w:t>2.工程内容及说明</w:t>
            </w:r>
          </w:p>
          <w:p w14:paraId="6A5DF8D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2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2.1工程内容</w:t>
            </w:r>
          </w:p>
          <w:p w14:paraId="6F3D108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(1)教研室改造：为改善教研室的办公环境，拟对三号教学楼、一号教学楼、系部办公楼404办公室等共47间教研室进行整体维修改造，维修改造内容为：对墙面乳胶漆翻新、顶面乳胶漆翻新、新增窗套及窗台板、纱窗更换、窗帘更换为电动窗帘、更换灯具、暖气片喷漆、暖气片上方增加置物挡板、教研室旁边卫生间渗漏维修等。</w:t>
            </w:r>
          </w:p>
          <w:p w14:paraId="1706D50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2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w:t>
            </w:r>
            <w:r>
              <w:rPr>
                <w:rFonts w:hint="eastAsia" w:ascii="宋体" w:hAnsi="宋体" w:eastAsia="宋体" w:cs="宋体"/>
                <w:color w:val="000000"/>
                <w:sz w:val="22"/>
                <w:szCs w:val="22"/>
                <w:bdr w:val="none" w:color="auto" w:sz="0" w:space="0"/>
              </w:rPr>
              <w:t>2）</w:t>
            </w:r>
            <w:r>
              <w:rPr>
                <w:rFonts w:hint="eastAsia" w:ascii="仿宋" w:hAnsi="仿宋" w:eastAsia="仿宋" w:cs="仿宋"/>
                <w:color w:val="000000"/>
                <w:sz w:val="22"/>
                <w:szCs w:val="22"/>
                <w:bdr w:val="none" w:color="auto" w:sz="0" w:space="0"/>
              </w:rPr>
              <w:t>停车场改造：学院东北角约2500平方米闲置土地（产权为学院所有），近期计划做教职工停车场使用，解决我院停车位不足的问题。改造后，可以增加50个车位，具体改造内容：2500平方米进行场地平整，2000平方米停车位及道路3：7灰土压实，200mm混凝土硬化，200米道牙安装，车位划线，50个橡胶车档，安装太阳能路灯10盏，暗埋排水沟120米，新砌围墙及抹灰；绿化等。。</w:t>
            </w:r>
          </w:p>
          <w:p w14:paraId="5D5F7F2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2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2.2工程量清单及说明</w:t>
            </w:r>
          </w:p>
          <w:p w14:paraId="3517F0B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2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(1)工程量清单及编制依据：另册，详见附件广联达电子招标书。</w:t>
            </w:r>
          </w:p>
          <w:p w14:paraId="63201C3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2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(2)暂列金额、专业工程暂估价、暂估单价等:暂列金：80000.00元；成品电动窗帘安装按暂估价200元/㎡计，供应商报价时应当按照采购文件中规定进行报价，否则将按无效响应处理。</w:t>
            </w:r>
          </w:p>
          <w:p w14:paraId="24EC50B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2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(3)3#教学楼公共卫生间墙面拆除恢复算至地面以上1m高度。</w:t>
            </w:r>
          </w:p>
          <w:p w14:paraId="492AEAE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Style w:val="8"/>
                <w:rFonts w:hint="eastAsia" w:ascii="仿宋" w:hAnsi="仿宋" w:eastAsia="仿宋" w:cs="仿宋"/>
                <w:color w:val="000000"/>
                <w:sz w:val="22"/>
                <w:szCs w:val="22"/>
                <w:bdr w:val="none" w:color="auto" w:sz="0" w:space="0"/>
              </w:rPr>
              <w:t>3.商务要求</w:t>
            </w:r>
          </w:p>
          <w:p w14:paraId="7D5AB24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2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3.1计划工期：30日历天。</w:t>
            </w:r>
          </w:p>
          <w:p w14:paraId="59B1CF4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2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3.2建设地点：西安职业技术学院校本部(按采购人指定地点)。</w:t>
            </w:r>
          </w:p>
          <w:p w14:paraId="421F58C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2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3.3缺陷责任期:自竣工验收合格之日起2年。</w:t>
            </w:r>
          </w:p>
          <w:p w14:paraId="012AD4E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2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3.4质量保修期：(1)自整体工程验收合格之日起2年。</w:t>
            </w:r>
          </w:p>
          <w:p w14:paraId="18BE932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4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(2)其他相关部分工程的质量保修期根据《建设工程质量管理条例》及有关规定执行。</w:t>
            </w:r>
          </w:p>
          <w:p w14:paraId="430E717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Style w:val="8"/>
                <w:rFonts w:hint="eastAsia" w:ascii="仿宋" w:hAnsi="仿宋" w:eastAsia="仿宋" w:cs="仿宋"/>
                <w:color w:val="000000"/>
                <w:sz w:val="22"/>
                <w:szCs w:val="22"/>
                <w:bdr w:val="none" w:color="auto" w:sz="0" w:space="0"/>
              </w:rPr>
              <w:t>4.其他要求或说明</w:t>
            </w:r>
          </w:p>
          <w:p w14:paraId="0DEC77D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2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4.1本项目包工包料承包方式，包括但不限于包工包料、包机械设备、包质量、包安全、包工期、包文明施工、包施工措施、包赶工、包报审、包协调、包竣工验收、包保险、包保修、包自负盈亏、包检验试验、包成品保护、包竣工清理及消纳、包室内空气质量检测等，供应商报价是在详细审查招标图纸、技术规范及采购人提供的工程量清单的基础上编制的，供应商已对工程量清单的准确性以及其与招标图纸的一致性进行了复核。供应商的合同总价应被视为已包含了施工图纸、技术规范和要求所指示的全部工作内容，以及为完成该等工作所必需的所有附带工作，无论该等工作内容是否在工程量清单中列明。供应商的投标报价包括施工费、人工费、管理费、材料与设备费、安装费、维护费、保险费、采购代理费、税金、利润、政策性规费等所有费用，并符合建设工程计价规则。</w:t>
            </w:r>
          </w:p>
          <w:p w14:paraId="796851A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 4.2本项目所属行业为：建筑业，划型标准为：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bl>
    <w:p w14:paraId="25911E2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二、供应商针对本项目的施工，必须达到国家及行业现行技术规范标准，符合国家及行业验收合格标准：</w:t>
      </w:r>
    </w:p>
    <w:p w14:paraId="3C0B641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4F03EF6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(一)质量要求：达到国家及行业现行建设工程施工质量验收规范及采购人要求的“合格”标准。 (二)质量标准或规范：①符合《绿色建筑和绿色建材政府采购需求标准》《建筑工程施工质量验收统一标准》GB50300-2013等相关国家及行业标准；②本工程的施工过程和成果必须符合国家有关工程建设标准强制性条文和国家或有关部门关于工程承包方面现行的标准、规范、规程、定额、办法、示例，以及陕西省关于工程承包方面的文件、规定；③承包人在施工过程中使用或参考上述标准、规范以外的技术标准、规范时，应征得采购人或采购人指定代表人的同意；④在施工过程中，如果国家或有关部门颁布了新的技术标准或规范，则承包人应采用新的标准或规范进行施工；⑤承包人按《建筑工程施工质量验收统一标准》GB50300-2013及国家、陕西省、西安市相关规定，完成验收后，进行工程竣工验收。凡涉及的相关规范，国家有最新标准的以最新标准为准，所有标准哪个标准高执行哪个标准 (三)验收标准和方法：现行的国家标准或国家行政部门颁布的法律法规、规章制度等，是项目验收的重要依据，采购人按照国家、省、市(行业)强制性标准及合同约定对承包人的施工(含材料及服务)进行检查或验收，承包人须接受采购人的各类检查或验收；若验收不通过或质量不合格，承包人应在一定期限内进行整改完善，以采购人要求的标准提供合格工程；若承包人在接受检查整改后，仍不能提供符合采购要求的质量标准，采购人有权按违约予以撤项并要求承包人承担相应的法律责任和经济损失。具体按拟定合同相关条款执行。</w:t>
      </w:r>
    </w:p>
    <w:p w14:paraId="314D309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三、针对本项目的其他技术服务要求：</w:t>
      </w:r>
    </w:p>
    <w:p w14:paraId="5C09C42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0A82E5"/>
          <w:spacing w:val="0"/>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(一)材料供应要求 (一)材料供应要求 (1)选用的主材、设备、辅材必须为国家合格产品且符合国家环保等相关标准，满足施工要求，质量可靠、进货渠道正常，并明确其品牌、规格、型号、产地，并附鉴定证书，对主要设备材料必须先提交样品，经鉴定确认后，方可订货，不得使用未经检验或不合格的设备、材料，若发生此种情况，采购人将依法追究承包人相关责任和由此造成的一切经济损失。 (2)承包人供应的材料应按合同规定按时、按质、按量供应，项目所需主要施工材料、设备等辅助材料均由承包人负责供应，必须满足设计要求和国家有关标准，并应具有合格证等质量证明资料，且经采购人确认后方可使用；采购人采用抽检办法责成承包人分批次进行检测，费用由承包人承担。 (3)因材料供应不及时或质量不合格所造成的损失(包括仓库保管费)由承包人自行承担。 (二)技术及服务要求 (1)承包人根据工程实际情况编制施工组织计划，制定工期进度安排、突发应急处理措施、施工质量控制等承包方案，并随投标文件一并提交采购人。 (2)严格按照国家和陕西省有关规定施工、规范施工，确保工程合格，如有更改须事先征得采购人有关方面的同意，并在采购人落实后实施，并出具书面说明。 (3)工程实施必须完全符合规定的技术、方案、质量、规格、材质等要求；根据实际需要，承包人应在工程施工实施期间进行巡查，若出现质量问题，应及时对工程出现的问题进行维修，因承包人原因导致工程质量达不到约定的质量标准，由承包人自行承担相关责任。 (4)施工过程中严格遵守有关施工规范和安全操作规程及采购人单位的管理规章制度，采取有效的安全保障措施，确保施工安全，包括悬挂警示标牌、装设围栏、配备安全人员等，做到安全、文明施工；所有施工人员需统一着装统一单位标识，严禁随意通行；如发生工伤及意外事故由承包人自行承担事故的全部费用和责任。 (5)承包人必须服从当地对治安、卫生、环保、社会保险等工程建设的统一管理，并按有关规定缴纳费用以及因违反相关规定而造成的罚款；施工方自行办理垃圾清理手续，遵守政府有关垃圾分类处理有关规定，承担自行处置不当导致的全部费用和责任。 (6)施工期间，负责施工区域内的安全、保卫及消防等工作，注意施工区域内人员安全,加强安全措施，并对施工人员进行安全教育，施工人员均应严格按照相关技术规范进行施工，做到安全施工且不影响交通；如因措施不力造成人员伤亡或财产损失等一切事故，由自行承担因此而导致的全部责任和损失。 (7)施工期间需采取必要措施确保现场正常运行，做好施工现场组织管理、安全、文明施工，维护现场秩序，做到工完场清、道路畅通，建筑垃圾不得随意堆放；根据施工现场采取不同的围挡方式进行围挡作业，做到封闭性施工并设有施工告示牌，严禁用进场材料做防护；承包人负责办理建筑垃圾外运有关手续，由供应商自行联系运至项目所在辖区地以外的建筑垃圾堆放场所并承担相应的费用；施工过程中当天产生的废渣、垃圾等应在当天施工结束后清理完毕，做到工完料尽场地清。 (8)合理安排作业时间，降低噪声污染、粉尘污染，确保施工现场周围的正常工作与休息，按国家有关施工时间规定进行施工，施工中避免给他人带来干扰。 (9)承包人根据项目特性及要求，成立履行合同所需的项目管理组织机构，项目组成员(不限于项目负责人、技术负责人、管理人员、安全专职人员、质检人员、资料员、专业的施工人员等)结构合理、分工明确，并保证项目组成员具有相应资格或职称证书，持证上岗；施工队伍稳定，确保整个工程按期限按质量顺利完工；未经采购人同意，不得擅自更换本工程在响应文件中指定的项目施工负责人(项目经理)及施工队伍。 (10)承包人根据项目特性及要求，自行配置履行合同所需的机械设备及工具，未经采购人书面同意擅自使用或损坏采购方设施设备，自行承担因此而导致的全部责任和损失。 (11)承包人应对工程过程中所出现的问题及时进行解决、调整，并做好记录，质量标准以达到采购文件中所规定的全部相关要求为准，如果发现与详细需求不符或达不到规定的性能指标，采购人有权拒绝付款或付款时间段推迟付款且不承担任何违约责任，承包人不得以此为由停止履行本项目的任意义务。 (12)承包人在工程缺陷责任期内，应按照有关法律法规规定和双方合同条款约定，承担本工程的质量保修责任，工程缺陷责任期过后，如出现质量问题，亦应积极协助解决，承包人的后续服务要完善、可靠、及时，并派遣相关技术人员配合采购人检查、维修。 (13)工程缺陷责任期内出现的质量问题由承包人负责，保修内容为由承包人负责的本工程全部质量问题(工程维修、设备维修、零部件更换、伴随服务等)，响应时间为正常工作日2小时内答复，6小时内到现场处理。节假日及法定休息日4小时内答复，12小时内到现场处理。 (14)其它未详之处均应遵照国家现行有关规范。</w:t>
      </w:r>
    </w:p>
    <w:p w14:paraId="041BBBB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四、工程量清单（详见附件）</w:t>
      </w:r>
    </w:p>
    <w:p w14:paraId="219A0E6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（说明：工程量清单应当结合《政府采购需求管理办法》（财库〔2021〕22号）第六条第二款规定，明确相关性能、材料、结构、外观、安全、标准等。）</w:t>
      </w:r>
    </w:p>
    <w:p w14:paraId="6A3EE77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3.2商务要求（说明：由采购人依据项目具体需求制定）</w:t>
      </w:r>
    </w:p>
    <w:tbl>
      <w:tblPr>
        <w:tblW w:w="178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2047"/>
        <w:gridCol w:w="7572"/>
        <w:gridCol w:w="8186"/>
      </w:tblGrid>
      <w:tr w14:paraId="4755A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444864E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18"/>
                <w:szCs w:val="18"/>
              </w:rPr>
            </w:pPr>
            <w:r>
              <w:rPr>
                <w:rFonts w:hint="eastAsia" w:ascii="宋体" w:hAnsi="宋体" w:eastAsia="宋体" w:cs="宋体"/>
                <w:i w:val="0"/>
                <w:iCs w:val="0"/>
                <w:caps w:val="0"/>
                <w:color w:val="333333"/>
                <w:spacing w:val="0"/>
                <w:sz w:val="18"/>
                <w:szCs w:val="18"/>
                <w:bdr w:val="none" w:color="auto" w:sz="0" w:space="0"/>
              </w:rPr>
              <w:t>序号</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7B30C04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18"/>
                <w:szCs w:val="18"/>
              </w:rPr>
            </w:pPr>
            <w:r>
              <w:rPr>
                <w:rFonts w:hint="eastAsia" w:ascii="宋体" w:hAnsi="宋体" w:eastAsia="宋体" w:cs="宋体"/>
                <w:i w:val="0"/>
                <w:iCs w:val="0"/>
                <w:caps w:val="0"/>
                <w:color w:val="333333"/>
                <w:spacing w:val="0"/>
                <w:sz w:val="18"/>
                <w:szCs w:val="18"/>
                <w:bdr w:val="none" w:color="auto" w:sz="0" w:space="0"/>
              </w:rPr>
              <w:t>项目</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7D2A654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18"/>
                <w:szCs w:val="18"/>
              </w:rPr>
            </w:pPr>
            <w:r>
              <w:rPr>
                <w:rFonts w:hint="eastAsia" w:ascii="宋体" w:hAnsi="宋体" w:eastAsia="宋体" w:cs="宋体"/>
                <w:i w:val="0"/>
                <w:iCs w:val="0"/>
                <w:caps w:val="0"/>
                <w:color w:val="333333"/>
                <w:spacing w:val="0"/>
                <w:sz w:val="18"/>
                <w:szCs w:val="18"/>
                <w:bdr w:val="none" w:color="auto" w:sz="0" w:space="0"/>
              </w:rPr>
              <w:t>要求</w:t>
            </w:r>
          </w:p>
        </w:tc>
      </w:tr>
      <w:tr w14:paraId="5C3F3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0C4F94E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18"/>
                <w:szCs w:val="18"/>
              </w:rPr>
            </w:pPr>
            <w:r>
              <w:rPr>
                <w:rFonts w:hint="eastAsia" w:ascii="宋体" w:hAnsi="宋体" w:eastAsia="宋体" w:cs="宋体"/>
                <w:i w:val="0"/>
                <w:iCs w:val="0"/>
                <w:caps w:val="0"/>
                <w:color w:val="333333"/>
                <w:spacing w:val="0"/>
                <w:sz w:val="18"/>
                <w:szCs w:val="18"/>
                <w:bdr w:val="none" w:color="auto" w:sz="0" w:space="0"/>
              </w:rPr>
              <w:t>1</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648A553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18"/>
                <w:szCs w:val="18"/>
              </w:rPr>
            </w:pPr>
            <w:r>
              <w:rPr>
                <w:rFonts w:hint="eastAsia" w:ascii="宋体" w:hAnsi="宋体" w:eastAsia="宋体" w:cs="宋体"/>
                <w:i w:val="0"/>
                <w:iCs w:val="0"/>
                <w:caps w:val="0"/>
                <w:color w:val="333333"/>
                <w:spacing w:val="0"/>
                <w:sz w:val="18"/>
                <w:szCs w:val="18"/>
                <w:bdr w:val="none" w:color="auto" w:sz="0" w:space="0"/>
              </w:rPr>
              <w:t>项目负责人（项目经理）</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2F3F0E2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18"/>
                <w:szCs w:val="18"/>
              </w:rPr>
            </w:pPr>
            <w:r>
              <w:rPr>
                <w:rFonts w:hint="eastAsia" w:ascii="宋体" w:hAnsi="宋体" w:eastAsia="宋体" w:cs="宋体"/>
                <w:i w:val="0"/>
                <w:iCs w:val="0"/>
                <w:caps w:val="0"/>
                <w:color w:val="333333"/>
                <w:spacing w:val="0"/>
                <w:sz w:val="18"/>
                <w:szCs w:val="18"/>
                <w:bdr w:val="none" w:color="auto" w:sz="0" w:space="0"/>
              </w:rPr>
              <w:t>具体要求详见资格审查条款</w:t>
            </w:r>
          </w:p>
        </w:tc>
      </w:tr>
    </w:tbl>
    <w:p w14:paraId="1B7C86E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说明：</w:t>
      </w:r>
    </w:p>
    <w:p w14:paraId="25DECE9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1.对于不允许偏离的实质性要求和条件，采购人或者代理机构应当在磋商文件中规定，并以醒目的方式标明。</w:t>
      </w:r>
    </w:p>
    <w:p w14:paraId="70B8294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2.除相关法律或行政法规或规章要求供应商在响应或磋商阶段提供检测报告的，不得要求供应商在响应、磋商阶段提供检测报告，如确实需要检测报告，可要求供应商承诺在签订合同阶段或项目实施阶段提供。</w:t>
      </w:r>
    </w:p>
    <w:p w14:paraId="28DF516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3.若要求供应商提供相关人员的职业资格的，不得要求提供除现行《国家职业资格目录》以外的职业资格，不得以不合理条件对供应商实行差别待遇或者歧视性待遇。</w:t>
      </w:r>
    </w:p>
    <w:p w14:paraId="528C7C4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3.3其他要求</w:t>
      </w:r>
    </w:p>
    <w:p w14:paraId="72484DE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(一)磋商有效期： 1.出现特殊情况需要延长磋商有效期的，采购代理机构或采购人可于磋商有效期满之前，以书面形式通知所有供应商延长磋商有效期。 2.在磋商有效期内，供应商撤销响应文件的，应承担磋商文件和法律规定的责任。 3.成交供应商的磋商有效期自动延长至合同终止为止。 (二)合格供应商少于3家的处理： 1.评审过程中，若出现合格供应商只有2家时，符合《政府采购竞争性磋商采购方式管理暂行办法》第3条第4项情形的，或者本项目为政府购买服务指导性目录中的，可以继续进行；只有1家时，采购人应依法重新组织采购活动。 2.评审过程中，除符合第1条条款规定情形外，若出现合格供应商少于3家时，采购人应依法重新组织采购活动。 (三)分公司独立参与磋商时，不能使用总公司的资质或业绩；总公司授权分公司或分支机构参与磋商，可以使用总公司的资质或业绩。总公司单独参与磋商时，可以使用分公司的业绩，在相关资质证书的管理要求和适用范围内可以使用分公司资质。 (四)供应商的电子响应文件中的所有文字资料、图纸、数据、方案、证书、检测报告等响应内容应清晰可辨，表达意思统一，便于查找，供应商自行承担资料模糊不清、无法辨认的不利后果。 (五)文件中签名是指：手写签名或加盖签名章(含电子章、印章、签名章)，盖章是指加盖单位公章(含电子章)。 (六)恶意质疑、投诉的法律后果：1.对捏造事实、提供虚假材料进行质疑、投诉的行为将予以严肃处理：《政府采购质疑和投诉办法》(财政部令第94号)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2.对捏造事实诬告陷害他人、诽谤他人的法律适用：(1)《中华人民共和国刑法》第243条【诬告陷害罪】捏造事实诬告陷害他人，意图使他人受到刑事追究，情节严重的，处三年以下有期徒刑、拘役或者管制；造成严重后果的，处三年以上十年以下有期徒刑。(2)《中华人民共和国刑法》第246条【侮辱罪、诽谤罪】以暴力或者其他方法公然侮辱他人或者捏造事实诽谤他人，情节严重的，处三年以下有期徒刑、拘役、管制或者剥夺政治权利。 (七)参与本项目的供应商应通过陕西省政府采购综合管理平台的项目电子化交易系统在线实施报名、获取采购文件、响应、报价等操作，供应商无需现场提供纸质响应文件。但在中标(成交)后，中标(成交)供应商在领取中标(成交)通知书时需提供纸质响应文件两套用于备案，纸质响应文件应通过专用制作软件直接打印(自定单双面、黑白/彩色)，确保与项目电子化交易系统中的电子响应文件保持一致，不允许修改和补充。中标(成交)通知书领取地址：西安市雁塔区雁翔路111号赛格·中京坊6幢1(公寓A1)单元2层招标一部。</w:t>
      </w:r>
    </w:p>
    <w:p w14:paraId="17DA5AC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C56AE6"/>
    <w:rsid w:val="26C56A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2026-06-11T09:49:00Z</dcterms:created>
  <dc:creator>杜航</dc:creator>
  <cp:lastModifiedBy>杜航</cp:lastModifiedBy>
  <dcterms:modified xsi:type="dcterms:W3CDTF">2026-06-11T09:49:47Z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60C3652A6BB547D3BAEB6F770706A55E_11</vt:lpwstr>
  </property>
  <property fmtid="{D5CDD505-2E9C-101B-9397-08002B2CF9AE}" pid="4" name="KSOTemplateDocerSaveRecord">
    <vt:lpwstr>eyJoZGlkIjoiNGVjNGI1ZWQxMDUyODY5ZDAxOTAyNjljNjE1NWUwNGQiLCJ1c2VySWQiOiIzMDgwODY2MDYifQ==</vt:lpwstr>
  </property>
</Properties>
</file>