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版本号：SZT2026-SN-SC-ZC-HW-0515.1B120260713001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金属矿膏体流变信息自动采集评价平台采购项目(二次)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SZT2026-SN-SC-ZC-HW-0515.1B1</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金属矿膏体流变信息自动采集评价平台采购项目(二次)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SZT2026-SN-SC-ZC-HW-0515.1B1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金属矿膏体流变信息自动采集评价平台采购项目(二次)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金属矿膏体流变信息自动采集评价平台采购项目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采购包1（金属矿膏体流变信息自动采集评价平台）：属于专门面向中小企业采购。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1、法定代表人授权书：非法定代表人参加谈判的，须提供法定代表人委托授权书及被授权人身份证复印件，法定代表人参加谈判时,只需提供法定代表人身份证复印件</w:t>
      </w:r>
    </w:p>
    <w:p>
      <w:pPr>
        <w:pStyle w:val="null3"/>
      </w:pPr>
      <w:r>
        <w:rPr>
          <w:rFonts w:ascii="仿宋_GB2312" w:hAnsi="仿宋_GB2312" w:cs="仿宋_GB2312" w:eastAsia="仿宋_GB2312"/>
        </w:rPr>
        <w:t>2、本项目不接受联合体谈判：非联合体谈判声明函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 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高日兴、赵倩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029-87304306、029-87304326、029-88364979转873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w:t>
            </w:r>
          </w:p>
          <w:p>
            <w:pPr>
              <w:pStyle w:val="null3"/>
            </w:pPr>
            <w:r>
              <w:rPr>
                <w:rFonts w:ascii="仿宋_GB2312" w:hAnsi="仿宋_GB2312" w:cs="仿宋_GB2312" w:eastAsia="仿宋_GB2312"/>
              </w:rPr>
              <w:t>开户银行：129916812810001</w:t>
            </w:r>
          </w:p>
          <w:p>
            <w:pPr>
              <w:pStyle w:val="null3"/>
            </w:pPr>
            <w:r>
              <w:rPr>
                <w:rFonts w:ascii="仿宋_GB2312" w:hAnsi="仿宋_GB2312" w:cs="仿宋_GB2312" w:eastAsia="仿宋_GB2312"/>
              </w:rPr>
              <w:t>银行账号：129916812810001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代理服务费收费标准：1、代理服务费100万元（不含）以下的项目中标服务费参照国家发改委《招标代理服务收费暂行办法》（计价格[2002]1980 号）文件规定标准计取，100万元（含）以上的项目中标服务费参照国家发改委《招标代理服务收费暂行办法》（计价格[2002]1980 号）文件规定标准75%计取。供应商将招标代理服务费计入报价但不单独列明，成交单位在领取成交通知书前，须向采购代理机构一次性支付招标代理服务费；代理服务费以转账、电汇或现金等形式交纳。2、本项目代理服务费按货物计取。3、代理费缴存账户：单位名称：陕西中技招标有限公司、开户银行：招商银行西安分行营业部、银行账号：129916812810001、转账时请备注：（项目编号后四位）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陕西中技招标有限公司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联系电话：029-88364979-856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金属矿膏体流变信息自动采集评价平台采购项目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420,000.00</w:t>
      </w:r>
    </w:p>
    <w:p>
      <w:pPr>
        <w:pStyle w:val="null3"/>
      </w:pPr>
      <w:r>
        <w:rPr>
          <w:rFonts w:ascii="仿宋_GB2312" w:hAnsi="仿宋_GB2312" w:cs="仿宋_GB2312" w:eastAsia="仿宋_GB2312"/>
        </w:rPr>
        <w:t>采购包最高限价（元）: 390,000.00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金属矿膏体流变信息自动采集评价平台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标的名称：金属矿膏体流变信息自动采集评价平台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流变仪</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产品名称</w:t>
                  </w:r>
                </w:p>
              </w:tc>
              <w:tc>
                <w:tcPr>
                  <w:tcW w:type="dxa" w:w="511"/>
                </w:tcPr>
                <w:p>
                  <w:pPr>
                    <w:pStyle w:val="null3"/>
                  </w:pPr>
                  <w:r>
                    <w:rPr>
                      <w:rFonts w:ascii="仿宋_GB2312" w:hAnsi="仿宋_GB2312" w:cs="仿宋_GB2312" w:eastAsia="仿宋_GB2312"/>
                    </w:rPr>
                    <w:t>技术标准</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备注</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流变仪主机</w:t>
                  </w:r>
                </w:p>
              </w:tc>
              <w:tc>
                <w:tcPr>
                  <w:tcW w:type="dxa" w:w="511"/>
                </w:tcPr>
                <w:p>
                  <w:pPr>
                    <w:pStyle w:val="null3"/>
                  </w:pPr>
                  <w:r>
                    <w:rPr>
                      <w:rFonts w:ascii="仿宋_GB2312" w:hAnsi="仿宋_GB2312" w:cs="仿宋_GB2312" w:eastAsia="仿宋_GB2312"/>
                    </w:rPr>
                    <w:t>#[1]扭矩：≥200 mNm。</w:t>
                  </w:r>
                </w:p>
                <w:p>
                  <w:pPr>
                    <w:pStyle w:val="null3"/>
                  </w:pPr>
                  <w:r>
                    <w:rPr>
                      <w:rFonts w:ascii="仿宋_GB2312" w:hAnsi="仿宋_GB2312" w:cs="仿宋_GB2312" w:eastAsia="仿宋_GB2312"/>
                    </w:rPr>
                    <w:t>[2]转速范围：0.01～1000 rpm。</w:t>
                  </w:r>
                </w:p>
                <w:p>
                  <w:pPr>
                    <w:pStyle w:val="null3"/>
                  </w:pPr>
                  <w:r>
                    <w:rPr>
                      <w:rFonts w:ascii="仿宋_GB2312" w:hAnsi="仿宋_GB2312" w:cs="仿宋_GB2312" w:eastAsia="仿宋_GB2312"/>
                    </w:rPr>
                    <w:t>[3]显示参数：动力粘度、剪切应力、扭矩、温度、时间、屈服应力、变形量等。</w:t>
                  </w:r>
                </w:p>
                <w:p>
                  <w:pPr>
                    <w:pStyle w:val="null3"/>
                  </w:pPr>
                  <w:r>
                    <w:rPr>
                      <w:rFonts w:ascii="仿宋_GB2312" w:hAnsi="仿宋_GB2312" w:cs="仿宋_GB2312" w:eastAsia="仿宋_GB2312"/>
                    </w:rPr>
                    <w:t>[4]自动识别测量转子。</w:t>
                  </w:r>
                </w:p>
                <w:p>
                  <w:pPr>
                    <w:pStyle w:val="null3"/>
                  </w:pPr>
                  <w:r>
                    <w:rPr>
                      <w:rFonts w:ascii="仿宋_GB2312" w:hAnsi="仿宋_GB2312" w:cs="仿宋_GB2312" w:eastAsia="仿宋_GB2312"/>
                    </w:rPr>
                    <w:t>#[5]转子自动定位于被测料浆中的合适位置（转子尺寸和量杯尺寸必须满足H/D ＜3.5, D</w:t>
                  </w:r>
                  <w:r>
                    <w:rPr>
                      <w:rFonts w:ascii="仿宋_GB2312" w:hAnsi="仿宋_GB2312" w:cs="仿宋_GB2312" w:eastAsia="仿宋_GB2312"/>
                      <w:vertAlign w:val="subscript"/>
                    </w:rPr>
                    <w:t>T</w:t>
                  </w:r>
                  <w:r>
                    <w:rPr>
                      <w:rFonts w:ascii="仿宋_GB2312" w:hAnsi="仿宋_GB2312" w:cs="仿宋_GB2312" w:eastAsia="仿宋_GB2312"/>
                    </w:rPr>
                    <w:t>/D＞ 2.0</w:t>
                  </w:r>
                </w:p>
                <w:p>
                  <w:pPr>
                    <w:pStyle w:val="null3"/>
                  </w:pPr>
                  <w:r>
                    <w:rPr>
                      <w:rFonts w:ascii="仿宋_GB2312" w:hAnsi="仿宋_GB2312" w:cs="仿宋_GB2312" w:eastAsia="仿宋_GB2312"/>
                    </w:rPr>
                    <w:t>Z</w:t>
                  </w:r>
                  <w:r>
                    <w:rPr>
                      <w:rFonts w:ascii="仿宋_GB2312" w:hAnsi="仿宋_GB2312" w:cs="仿宋_GB2312" w:eastAsia="仿宋_GB2312"/>
                      <w:vertAlign w:val="subscript"/>
                    </w:rPr>
                    <w:t>1</w:t>
                  </w:r>
                  <w:r>
                    <w:rPr>
                      <w:rFonts w:ascii="仿宋_GB2312" w:hAnsi="仿宋_GB2312" w:cs="仿宋_GB2312" w:eastAsia="仿宋_GB2312"/>
                    </w:rPr>
                    <w:t>/D＞1.0,Z</w:t>
                  </w:r>
                  <w:r>
                    <w:rPr>
                      <w:rFonts w:ascii="仿宋_GB2312" w:hAnsi="仿宋_GB2312" w:cs="仿宋_GB2312" w:eastAsia="仿宋_GB2312"/>
                      <w:vertAlign w:val="subscript"/>
                    </w:rPr>
                    <w:t>2</w:t>
                  </w:r>
                  <w:r>
                    <w:rPr>
                      <w:rFonts w:ascii="仿宋_GB2312" w:hAnsi="仿宋_GB2312" w:cs="仿宋_GB2312" w:eastAsia="仿宋_GB2312"/>
                    </w:rPr>
                    <w:t>/D＞0.5）（注：D为转子直径，D</w:t>
                  </w:r>
                  <w:r>
                    <w:rPr>
                      <w:rFonts w:ascii="仿宋_GB2312" w:hAnsi="仿宋_GB2312" w:cs="仿宋_GB2312" w:eastAsia="仿宋_GB2312"/>
                      <w:vertAlign w:val="subscript"/>
                    </w:rPr>
                    <w:t>T</w:t>
                  </w:r>
                  <w:r>
                    <w:rPr>
                      <w:rFonts w:ascii="仿宋_GB2312" w:hAnsi="仿宋_GB2312" w:cs="仿宋_GB2312" w:eastAsia="仿宋_GB2312"/>
                    </w:rPr>
                    <w:t>为量杯直径，H为转子高度，Z</w:t>
                  </w:r>
                  <w:r>
                    <w:rPr>
                      <w:rFonts w:ascii="仿宋_GB2312" w:hAnsi="仿宋_GB2312" w:cs="仿宋_GB2312" w:eastAsia="仿宋_GB2312"/>
                      <w:vertAlign w:val="subscript"/>
                    </w:rPr>
                    <w:t>1</w:t>
                  </w:r>
                  <w:r>
                    <w:rPr>
                      <w:rFonts w:ascii="仿宋_GB2312" w:hAnsi="仿宋_GB2312" w:cs="仿宋_GB2312" w:eastAsia="仿宋_GB2312"/>
                    </w:rPr>
                    <w:t>为转子上缘与料浆表面的距离，Z</w:t>
                  </w:r>
                  <w:r>
                    <w:rPr>
                      <w:rFonts w:ascii="仿宋_GB2312" w:hAnsi="仿宋_GB2312" w:cs="仿宋_GB2312" w:eastAsia="仿宋_GB2312"/>
                      <w:vertAlign w:val="subscript"/>
                    </w:rPr>
                    <w:t>2</w:t>
                  </w:r>
                  <w:r>
                    <w:rPr>
                      <w:rFonts w:ascii="仿宋_GB2312" w:hAnsi="仿宋_GB2312" w:cs="仿宋_GB2312" w:eastAsia="仿宋_GB2312"/>
                    </w:rPr>
                    <w:t>为转子下缘距量杯底部的距离）</w:t>
                  </w:r>
                </w:p>
                <w:p>
                  <w:pPr>
                    <w:pStyle w:val="null3"/>
                  </w:pPr>
                  <w:r>
                    <w:rPr>
                      <w:rFonts w:ascii="仿宋_GB2312" w:hAnsi="仿宋_GB2312" w:cs="仿宋_GB2312" w:eastAsia="仿宋_GB2312"/>
                    </w:rPr>
                    <w:t>[6]具备可调节高度的工作平台。</w:t>
                  </w:r>
                </w:p>
                <w:p>
                  <w:pPr>
                    <w:pStyle w:val="null3"/>
                  </w:pPr>
                  <w:r>
                    <w:rPr>
                      <w:rFonts w:ascii="仿宋_GB2312" w:hAnsi="仿宋_GB2312" w:cs="仿宋_GB2312" w:eastAsia="仿宋_GB2312"/>
                    </w:rPr>
                    <w:t>[7])具备固定夹，可通过旋轮固定标准样品杯或250ml，500ml，1000ml及2500ml的烧杯。</w:t>
                  </w:r>
                </w:p>
                <w:p>
                  <w:pPr>
                    <w:pStyle w:val="null3"/>
                  </w:pPr>
                  <w:r>
                    <w:rPr>
                      <w:rFonts w:ascii="仿宋_GB2312" w:hAnsi="仿宋_GB2312" w:cs="仿宋_GB2312" w:eastAsia="仿宋_GB2312"/>
                    </w:rPr>
                    <w:t>[8]控制剪切应力和剪切速率两种测试模式。</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膏体流变测试系统</w:t>
                  </w:r>
                </w:p>
              </w:tc>
              <w:tc>
                <w:tcPr>
                  <w:tcW w:type="dxa" w:w="511"/>
                </w:tcPr>
                <w:p>
                  <w:pPr>
                    <w:pStyle w:val="null3"/>
                  </w:pPr>
                  <w:r>
                    <w:rPr>
                      <w:rFonts w:ascii="仿宋_GB2312" w:hAnsi="仿宋_GB2312" w:cs="仿宋_GB2312" w:eastAsia="仿宋_GB2312"/>
                    </w:rPr>
                    <w:t>[1]剪切速率范围：0～24000 s-1。</w:t>
                  </w:r>
                </w:p>
                <w:p>
                  <w:pPr>
                    <w:pStyle w:val="null3"/>
                  </w:pPr>
                  <w:r>
                    <w:rPr>
                      <w:rFonts w:ascii="仿宋_GB2312" w:hAnsi="仿宋_GB2312" w:cs="仿宋_GB2312" w:eastAsia="仿宋_GB2312"/>
                    </w:rPr>
                    <w:t>[2]剪切应力范围：0～210000 Pa。</w:t>
                  </w:r>
                </w:p>
                <w:p>
                  <w:pPr>
                    <w:pStyle w:val="null3"/>
                  </w:pPr>
                  <w:r>
                    <w:rPr>
                      <w:rFonts w:ascii="仿宋_GB2312" w:hAnsi="仿宋_GB2312" w:cs="仿宋_GB2312" w:eastAsia="仿宋_GB2312"/>
                    </w:rPr>
                    <w:t>[3] 粘度范围：0.005～1*107 Pa·s。</w:t>
                  </w:r>
                </w:p>
                <w:p>
                  <w:pPr>
                    <w:pStyle w:val="null3"/>
                  </w:pPr>
                  <w:r>
                    <w:rPr>
                      <w:rFonts w:ascii="仿宋_GB2312" w:hAnsi="仿宋_GB2312" w:cs="仿宋_GB2312" w:eastAsia="仿宋_GB2312"/>
                    </w:rPr>
                    <w:t>[4]适用于高浓度砂浆（质量浓度55%～84%），骨料粒径≤20mm</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桨式转子一套3个</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净浆流变测试系统</w:t>
                  </w:r>
                </w:p>
              </w:tc>
              <w:tc>
                <w:tcPr>
                  <w:tcW w:type="dxa" w:w="511"/>
                </w:tcPr>
                <w:p>
                  <w:pPr>
                    <w:pStyle w:val="null3"/>
                  </w:pPr>
                  <w:r>
                    <w:rPr>
                      <w:rFonts w:ascii="仿宋_GB2312" w:hAnsi="仿宋_GB2312" w:cs="仿宋_GB2312" w:eastAsia="仿宋_GB2312"/>
                    </w:rPr>
                    <w:t>[1] 剪切速率：0～2790 s-1。</w:t>
                  </w:r>
                </w:p>
                <w:p>
                  <w:pPr>
                    <w:pStyle w:val="null3"/>
                  </w:pPr>
                  <w:r>
                    <w:rPr>
                      <w:rFonts w:ascii="仿宋_GB2312" w:hAnsi="仿宋_GB2312" w:cs="仿宋_GB2312" w:eastAsia="仿宋_GB2312"/>
                    </w:rPr>
                    <w:t>[2] 剪切应力：≥590 Pa。</w:t>
                  </w:r>
                </w:p>
                <w:p>
                  <w:pPr>
                    <w:pStyle w:val="null3"/>
                  </w:pPr>
                  <w:r>
                    <w:rPr>
                      <w:rFonts w:ascii="仿宋_GB2312" w:hAnsi="仿宋_GB2312" w:cs="仿宋_GB2312" w:eastAsia="仿宋_GB2312"/>
                    </w:rPr>
                    <w:t>[3] 粘度范围：0.00005～2*104 Pa·s。</w:t>
                  </w:r>
                </w:p>
                <w:p>
                  <w:pPr>
                    <w:pStyle w:val="null3"/>
                  </w:pPr>
                  <w:r>
                    <w:rPr>
                      <w:rFonts w:ascii="仿宋_GB2312" w:hAnsi="仿宋_GB2312" w:cs="仿宋_GB2312" w:eastAsia="仿宋_GB2312"/>
                    </w:rPr>
                    <w:t>[4]适用于粉煤灰和水泥等无骨料粉体料浆</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转子一套2个及样品杯</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温控模块</w:t>
                  </w:r>
                </w:p>
              </w:tc>
              <w:tc>
                <w:tcPr>
                  <w:tcW w:type="dxa" w:w="511"/>
                </w:tcPr>
                <w:p>
                  <w:pPr>
                    <w:pStyle w:val="null3"/>
                  </w:pPr>
                  <w:r>
                    <w:rPr>
                      <w:rFonts w:ascii="仿宋_GB2312" w:hAnsi="仿宋_GB2312" w:cs="仿宋_GB2312" w:eastAsia="仿宋_GB2312"/>
                    </w:rPr>
                    <w:t>控温系统：0～100℃，精度≤0.1℃。</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配套处理软件</w:t>
                  </w:r>
                </w:p>
              </w:tc>
              <w:tc>
                <w:tcPr>
                  <w:tcW w:type="dxa" w:w="511"/>
                </w:tcPr>
                <w:p>
                  <w:pPr>
                    <w:pStyle w:val="null3"/>
                  </w:pPr>
                  <w:r>
                    <w:rPr>
                      <w:rFonts w:ascii="仿宋_GB2312" w:hAnsi="仿宋_GB2312" w:cs="仿宋_GB2312" w:eastAsia="仿宋_GB2312"/>
                    </w:rPr>
                    <w:t>自动拟合流体本构方程（包括但不限于NEWTON，OSTWALD，BINGHAM，STEIGER-ORI，CASSON，HERSCHEL-BULKLEY）和参数（屈服应力、黏度、触变环面积等）。测试数据的保存与导出等。</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 xml:space="preserve"> </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注：以上技术参数与性能指标标“★”项不允许负偏离，任意一项负偏离按无效谈判处理；（其中标“#”项：需提供佐证材料（3.3技术要求序号1）：①指标项有明确要求的：须按照指标项要求提供对应证明材料；②指标要求未做说明的，佐证材料不限于产品彩页、检测报告、官网功能截图、生产厂家加盖公章的技术参数与性能指标证明材料等，未提供或提供的证明材料低于文件规定的相应技术参数时视为负偏离；非标“#”项：响应情况以技术指标偏差表响应为准，未响应或低于文件规定的相应技术参数时视为负偏离。）</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培训要求：安装后提供不少于2天的线下基础培训，不限人数；安装调试完成待仪器使用一段时间后，乙方指派资深专业应用工程师在现场对甲方操作人员进行为期不少于 7 天的高阶应用培训；分2次进行，具体上门时间双方协商；厂家的培训会，乙方必须免费为采购方提供不少于2名技术人员的培训2次，其中1次为高级培训，并提供相关资料。</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仪器免费安装调试到位（包括但不限于：接地处理、线路改造等），试运行3个月后方可进行验收；提供说明书、使用教程等电子资料</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提供产品使用寿命承诺书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合同签订之日起45日内完成交付、安装及调试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西安建筑科技大学雁塔校区工科楼401</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其他，签订合同后15日内，乙方提供经甲方认可的合同金额100%的预付款保函或双方认可的其他担保措施，支付合同金额的100%，达到付款条件起10个工作日内，支付合同总金额的100.0%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验收合格后3年，质保期内出现故障导致仪器停用的时间，从质保期中扣除。质保期内每年2次免费全面维修保养。2、售后服务响应时间(质保期内)：8小时响应(包括电话响应);电话响应无法解决48小时内到达现场。修复时间60小时内解决;如在60小时内无法修复，则提供部件冗余服务或采取应急措施，提供相同产品或不低于故障产品规格档次的备用产品供采购人使用，以确保货物的正常使用。3、提供永久软件免费升级。</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1、核心产品：流变仪 2、中标（成交）结果发布后，中标（成交）供应商在2个工作日内向采购代理机构提供2套（和上传文件保持一致的）纸质投标（响应）文件用于备案及档案保存。 3、谈判保证金以电子保函形式递交需在谈判截止时间前发送一份扫描件至526159856@qq.com。 4、因系统原因，最终签订合同的付款方式是：签订合同后15日内，乙方提供经甲方认可的合同金额100%的预付款保函或双方认可的其他担保措施，支付合同金额的100%。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 ： 1、有效的主体资格证明：提供合法有效的统一社会信用代码营业执照（事业单位提供事业单位法人证书，自然人应提供身份证）； 2、税收缴纳证明：提供2025年5月1日以来任意时间段的依法缴纳税收的相关凭据（时间以税款所属时期为准），凭据应有税务机关或代收机关的公章或业务专用章。依法免税或无须缴纳税收的供应商，应提供相应证明文件； 3、社会保障资金缴纳证明：提供2025年5月1日以来任意时间段的社会保障资金缴存单据或社保机构开具的社会保险参保缴费情况证明。依法不需要缴纳社会保障资金的供应商应提供相关文件证明；4、具有履行合同所必需的设备和专业技术能力的书面声明：具有履行合同所必需的设备和专业技术能力的书面声明； 5、书面声明：参加政府采购活动前3年内在经营活动中没有重大违法记录的书面声明。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02-资格要求证明资料.pdf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2025年度经审计完整的财务审计报告（审计报告须具有注册会计师行业统一监管平台https://acc.mof.gov.cn赋予的验证码）（成立时间至提交响应文件截止时间不足一年的可提供成立后任意时段的资产负债表），或其谈判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02-资格要求证明资料.pdf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02-资格要求证明资料.pdf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非法定代表人参加谈判的，须提供法定代表人委托授权书及被授权人身份证复印件，法定代表人参加谈判时,只需提供法定代表人身份证复印件</w:t>
            </w:r>
          </w:p>
        </w:tc>
        <w:tc>
          <w:tcPr>
            <w:tcW w:type="dxa" w:w="1661"/>
          </w:tcPr>
          <w:p>
            <w:pPr>
              <w:pStyle w:val="null3"/>
            </w:pPr>
            <w:r>
              <w:rPr>
                <w:rFonts w:ascii="仿宋_GB2312" w:hAnsi="仿宋_GB2312" w:cs="仿宋_GB2312" w:eastAsia="仿宋_GB2312"/>
              </w:rPr>
              <w:t>02-资格要求证明资料.pdf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非联合体谈判声明函</w:t>
            </w:r>
          </w:p>
        </w:tc>
        <w:tc>
          <w:tcPr>
            <w:tcW w:type="dxa" w:w="1661"/>
          </w:tcPr>
          <w:p>
            <w:pPr>
              <w:pStyle w:val="null3"/>
            </w:pPr>
            <w:r>
              <w:rPr>
                <w:rFonts w:ascii="仿宋_GB2312" w:hAnsi="仿宋_GB2312" w:cs="仿宋_GB2312" w:eastAsia="仿宋_GB2312"/>
              </w:rPr>
              <w:t>02-资格要求证明资料.pdf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因系统编制原因，此项内容在异常低价评审环节审查）</w:t>
            </w:r>
          </w:p>
        </w:tc>
        <w:tc>
          <w:tcPr>
            <w:tcW w:type="dxa" w:w="1661"/>
          </w:tcPr>
          <w:p>
            <w:pPr>
              <w:pStyle w:val="null3"/>
            </w:pPr>
            <w:r>
              <w:rPr>
                <w:rFonts w:ascii="仿宋_GB2312" w:hAnsi="仿宋_GB2312" w:cs="仿宋_GB2312" w:eastAsia="仿宋_GB2312"/>
              </w:rPr>
              <w:t>标的清单 报价表 04-分项报价表.pdf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 效响应处理：(1)响应文件未按照采购文件规定要求签署、盖章； (2)不满足本谈判文件中“交货时间、交货地点、采购资金的支付方式及约定、质量保修范围和保修期”的实质性条款要求； (3)谈判有效期不足或无有效期； (4)报价超过谈判文件中规定的采购预算或最高限价； (5)保证金交纳不符合谈判文件要求；（6）不满足本谈判文件中标注“★”的实质性条款要求的(7)法律、法规和谈判文件规定的其他无效情形。</w:t>
            </w:r>
          </w:p>
        </w:tc>
        <w:tc>
          <w:tcPr>
            <w:tcW w:type="dxa" w:w="1661"/>
          </w:tcPr>
          <w:p>
            <w:pPr>
              <w:pStyle w:val="null3"/>
            </w:pPr>
            <w:r>
              <w:rPr>
                <w:rFonts w:ascii="仿宋_GB2312" w:hAnsi="仿宋_GB2312" w:cs="仿宋_GB2312" w:eastAsia="仿宋_GB2312"/>
              </w:rPr>
              <w:t>11-产品使用寿命承诺书.pdf 响应文件封面 08-拒绝商业贿赂承诺书.pdf 10-谈判保证金.pdf 07-谈判响应方案说明.pdf 04-分项报价表.pdf 05-服务承诺.pdf 09-商务条款响应说明.pdf 03-诚信承诺书.pdf 响应函 02-资格要求证明资料.pdf 06-技术指标偏差表.pdf</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按照最后评审价格由低到高的顺序推荐</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详见附件：02-资格要求证明资料.pdf</w:t>
      </w:r>
    </w:p>
    <w:p>
      <w:pPr>
        <w:pStyle w:val="null3"/>
        <w:ind w:firstLine="960"/>
      </w:pPr>
      <w:r>
        <w:rPr>
          <w:rFonts w:ascii="仿宋_GB2312" w:hAnsi="仿宋_GB2312" w:cs="仿宋_GB2312" w:eastAsia="仿宋_GB2312"/>
        </w:rPr>
        <w:t>详见附件：03-诚信承诺书.pdf</w:t>
      </w:r>
    </w:p>
    <w:p>
      <w:pPr>
        <w:pStyle w:val="null3"/>
        <w:ind w:firstLine="960"/>
      </w:pPr>
      <w:r>
        <w:rPr>
          <w:rFonts w:ascii="仿宋_GB2312" w:hAnsi="仿宋_GB2312" w:cs="仿宋_GB2312" w:eastAsia="仿宋_GB2312"/>
        </w:rPr>
        <w:t>详见附件：04-分项报价表.pdf</w:t>
      </w:r>
    </w:p>
    <w:p>
      <w:pPr>
        <w:pStyle w:val="null3"/>
        <w:ind w:firstLine="960"/>
      </w:pPr>
      <w:r>
        <w:rPr>
          <w:rFonts w:ascii="仿宋_GB2312" w:hAnsi="仿宋_GB2312" w:cs="仿宋_GB2312" w:eastAsia="仿宋_GB2312"/>
        </w:rPr>
        <w:t>详见附件：05-服务承诺.pdf</w:t>
      </w:r>
    </w:p>
    <w:p>
      <w:pPr>
        <w:pStyle w:val="null3"/>
        <w:ind w:firstLine="960"/>
      </w:pPr>
      <w:r>
        <w:rPr>
          <w:rFonts w:ascii="仿宋_GB2312" w:hAnsi="仿宋_GB2312" w:cs="仿宋_GB2312" w:eastAsia="仿宋_GB2312"/>
        </w:rPr>
        <w:t>详见附件：06-技术指标偏差表.pdf</w:t>
      </w:r>
    </w:p>
    <w:p>
      <w:pPr>
        <w:pStyle w:val="null3"/>
        <w:ind w:firstLine="960"/>
      </w:pPr>
      <w:r>
        <w:rPr>
          <w:rFonts w:ascii="仿宋_GB2312" w:hAnsi="仿宋_GB2312" w:cs="仿宋_GB2312" w:eastAsia="仿宋_GB2312"/>
        </w:rPr>
        <w:t>详见附件：07-谈判响应方案说明.pdf</w:t>
      </w:r>
    </w:p>
    <w:p>
      <w:pPr>
        <w:pStyle w:val="null3"/>
        <w:ind w:firstLine="960"/>
      </w:pPr>
      <w:r>
        <w:rPr>
          <w:rFonts w:ascii="仿宋_GB2312" w:hAnsi="仿宋_GB2312" w:cs="仿宋_GB2312" w:eastAsia="仿宋_GB2312"/>
        </w:rPr>
        <w:t>详见附件：08-拒绝商业贿赂承诺书.pdf</w:t>
      </w:r>
    </w:p>
    <w:p>
      <w:pPr>
        <w:pStyle w:val="null3"/>
        <w:ind w:firstLine="960"/>
      </w:pPr>
      <w:r>
        <w:rPr>
          <w:rFonts w:ascii="仿宋_GB2312" w:hAnsi="仿宋_GB2312" w:cs="仿宋_GB2312" w:eastAsia="仿宋_GB2312"/>
        </w:rPr>
        <w:t>详见附件：09-商务条款响应说明.pdf</w:t>
      </w:r>
    </w:p>
    <w:p>
      <w:pPr>
        <w:pStyle w:val="null3"/>
        <w:ind w:firstLine="960"/>
      </w:pPr>
      <w:r>
        <w:rPr>
          <w:rFonts w:ascii="仿宋_GB2312" w:hAnsi="仿宋_GB2312" w:cs="仿宋_GB2312" w:eastAsia="仿宋_GB2312"/>
        </w:rPr>
        <w:t>详见附件：10-谈判保证金.pdf</w:t>
      </w:r>
    </w:p>
    <w:p>
      <w:pPr>
        <w:pStyle w:val="null3"/>
        <w:ind w:firstLine="960"/>
      </w:pPr>
      <w:r>
        <w:rPr>
          <w:rFonts w:ascii="仿宋_GB2312" w:hAnsi="仿宋_GB2312" w:cs="仿宋_GB2312" w:eastAsia="仿宋_GB2312"/>
        </w:rPr>
        <w:t>详见附件：11-产品使用寿命承诺书.pdf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详见附件：01-合同文本.docx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