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E6286D">
      <w:pPr>
        <w:pStyle w:val="13"/>
        <w:rPr>
          <w:rFonts w:hint="eastAsia" w:ascii="仿宋" w:hAnsi="仿宋" w:eastAsia="仿宋" w:cs="仿宋"/>
        </w:rPr>
      </w:pPr>
      <w:r>
        <w:rPr>
          <w:rFonts w:hint="eastAsia" w:ascii="仿宋" w:hAnsi="仿宋" w:eastAsia="仿宋" w:cs="仿宋"/>
          <w:b/>
        </w:rPr>
        <w:t>版本号：ZZZC2026-011.1B120260527001</w:t>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p>
    <w:p w14:paraId="1351B307">
      <w:pPr>
        <w:pStyle w:val="13"/>
        <w:jc w:val="center"/>
        <w:outlineLvl w:val="0"/>
        <w:rPr>
          <w:rFonts w:hint="eastAsia" w:ascii="仿宋" w:hAnsi="仿宋" w:eastAsia="仿宋" w:cs="仿宋"/>
        </w:rPr>
      </w:pPr>
      <w:bookmarkStart w:id="0" w:name="_Toc16501"/>
      <w:r>
        <w:rPr>
          <w:rFonts w:hint="eastAsia" w:ascii="仿宋" w:hAnsi="仿宋" w:eastAsia="仿宋" w:cs="仿宋"/>
          <w:b/>
          <w:sz w:val="48"/>
        </w:rPr>
        <w:t>磋 商 文 件</w:t>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bookmarkEnd w:id="0"/>
    </w:p>
    <w:p w14:paraId="0B934B1E">
      <w:pPr>
        <w:pStyle w:val="13"/>
        <w:jc w:val="center"/>
        <w:outlineLvl w:val="1"/>
        <w:rPr>
          <w:rFonts w:hint="eastAsia" w:ascii="仿宋" w:hAnsi="仿宋" w:eastAsia="仿宋" w:cs="仿宋"/>
        </w:rPr>
      </w:pPr>
      <w:bookmarkStart w:id="1" w:name="_Toc1078"/>
      <w:r>
        <w:rPr>
          <w:rFonts w:hint="eastAsia" w:ascii="仿宋" w:hAnsi="仿宋" w:eastAsia="仿宋" w:cs="仿宋"/>
          <w:b/>
          <w:sz w:val="36"/>
        </w:rPr>
        <w:t>（服务类）</w:t>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bookmarkEnd w:id="1"/>
    </w:p>
    <w:p w14:paraId="747AA7D6">
      <w:pPr>
        <w:pStyle w:val="13"/>
        <w:jc w:val="center"/>
        <w:outlineLvl w:val="2"/>
        <w:rPr>
          <w:rFonts w:hint="eastAsia" w:ascii="仿宋" w:hAnsi="仿宋" w:eastAsia="仿宋" w:cs="仿宋"/>
        </w:rPr>
      </w:pPr>
      <w:bookmarkStart w:id="2" w:name="_Toc27175"/>
      <w:r>
        <w:rPr>
          <w:rFonts w:hint="eastAsia" w:ascii="仿宋" w:hAnsi="仿宋" w:eastAsia="仿宋" w:cs="仿宋"/>
          <w:b/>
          <w:sz w:val="28"/>
        </w:rPr>
        <w:t>采购项目名称：2026年全市中小企业主要负责人和安全管理人员培训项目(二次)</w:t>
      </w:r>
      <w:bookmarkEnd w:id="2"/>
    </w:p>
    <w:p w14:paraId="19210E3E">
      <w:pPr>
        <w:pStyle w:val="13"/>
        <w:jc w:val="center"/>
        <w:outlineLvl w:val="2"/>
        <w:rPr>
          <w:rFonts w:hint="eastAsia" w:ascii="仿宋" w:hAnsi="仿宋" w:eastAsia="仿宋" w:cs="仿宋"/>
        </w:rPr>
      </w:pPr>
      <w:bookmarkStart w:id="3" w:name="_Toc27880"/>
      <w:r>
        <w:rPr>
          <w:rFonts w:hint="eastAsia" w:ascii="仿宋" w:hAnsi="仿宋" w:eastAsia="仿宋" w:cs="仿宋"/>
          <w:b/>
          <w:sz w:val="28"/>
        </w:rPr>
        <w:t>采购项目编号：ZZZC2026-011.1B1</w:t>
      </w: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bookmarkEnd w:id="3"/>
    </w:p>
    <w:p w14:paraId="6064CB57">
      <w:pPr>
        <w:pStyle w:val="13"/>
        <w:jc w:val="center"/>
        <w:outlineLvl w:val="2"/>
        <w:rPr>
          <w:rFonts w:hint="eastAsia" w:ascii="仿宋" w:hAnsi="仿宋" w:eastAsia="仿宋" w:cs="仿宋"/>
        </w:rPr>
      </w:pPr>
      <w:bookmarkStart w:id="4" w:name="_Toc11866"/>
      <w:r>
        <w:rPr>
          <w:rFonts w:hint="eastAsia" w:ascii="仿宋" w:hAnsi="仿宋" w:eastAsia="仿宋" w:cs="仿宋"/>
          <w:b/>
          <w:sz w:val="28"/>
        </w:rPr>
        <w:t>西安市应急管理局（本级）</w:t>
      </w:r>
      <w:bookmarkEnd w:id="4"/>
    </w:p>
    <w:p w14:paraId="7977DB48">
      <w:pPr>
        <w:pStyle w:val="13"/>
        <w:jc w:val="center"/>
        <w:outlineLvl w:val="2"/>
        <w:rPr>
          <w:rFonts w:hint="eastAsia" w:ascii="仿宋" w:hAnsi="仿宋" w:eastAsia="仿宋" w:cs="仿宋"/>
        </w:rPr>
      </w:pPr>
      <w:bookmarkStart w:id="5" w:name="_Toc5778"/>
      <w:r>
        <w:rPr>
          <w:rFonts w:hint="eastAsia" w:ascii="仿宋" w:hAnsi="仿宋" w:eastAsia="仿宋" w:cs="仿宋"/>
          <w:b/>
          <w:sz w:val="28"/>
        </w:rPr>
        <w:t>中招(陕西)项目管理有限公司共同编制</w:t>
      </w:r>
      <w:bookmarkEnd w:id="5"/>
    </w:p>
    <w:p w14:paraId="3165A2C1">
      <w:pPr>
        <w:pStyle w:val="13"/>
        <w:jc w:val="center"/>
        <w:outlineLvl w:val="2"/>
        <w:rPr>
          <w:rFonts w:hint="eastAsia" w:ascii="仿宋" w:hAnsi="仿宋" w:eastAsia="仿宋" w:cs="仿宋"/>
        </w:rPr>
      </w:pPr>
      <w:bookmarkStart w:id="6" w:name="_Toc31542"/>
      <w:r>
        <w:rPr>
          <w:rFonts w:hint="eastAsia" w:ascii="仿宋" w:hAnsi="仿宋" w:eastAsia="仿宋" w:cs="仿宋"/>
          <w:b/>
          <w:sz w:val="28"/>
        </w:rPr>
        <w:t>2026年05月27日</w:t>
      </w:r>
      <w:bookmarkEnd w:id="6"/>
    </w:p>
    <w:p w14:paraId="455203AF">
      <w:pPr>
        <w:spacing w:before="0" w:beforeLines="0" w:after="0" w:afterLines="0" w:line="240" w:lineRule="auto"/>
        <w:ind w:left="0" w:leftChars="0" w:right="0" w:rightChars="0" w:firstLine="0" w:firstLineChars="0"/>
        <w:jc w:val="center"/>
        <w:rPr>
          <w:rFonts w:hint="eastAsia" w:ascii="仿宋" w:hAnsi="仿宋" w:eastAsia="仿宋" w:cs="仿宋"/>
        </w:rPr>
        <w:sectPr>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cs="仿宋"/>
        </w:rPr>
        <w:t xml:space="preserve"> </w:t>
      </w:r>
      <w:r>
        <w:rPr>
          <w:rFonts w:hint="eastAsia" w:ascii="仿宋" w:hAnsi="仿宋" w:eastAsia="仿宋" w:cs="仿宋"/>
        </w:rPr>
        <w:br w:type="textWrapping"/>
      </w:r>
    </w:p>
    <w:p w14:paraId="2F23EE16">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录</w:t>
      </w:r>
    </w:p>
    <w:p w14:paraId="78D6B1D2">
      <w:pPr>
        <w:pStyle w:val="3"/>
        <w:tabs>
          <w:tab w:val="right" w:leader="dot" w:pos="8306"/>
        </w:tabs>
        <w:rPr>
          <w:rFonts w:hint="eastAsia" w:ascii="仿宋" w:hAnsi="仿宋" w:eastAsia="仿宋" w:cs="仿宋"/>
        </w:rPr>
      </w:pPr>
      <w:r>
        <w:rPr>
          <w:rFonts w:hint="eastAsia" w:ascii="仿宋" w:hAnsi="仿宋" w:eastAsia="仿宋" w:cs="仿宋"/>
          <w:b/>
          <w:sz w:val="36"/>
        </w:rPr>
        <w:fldChar w:fldCharType="begin"/>
      </w:r>
      <w:r>
        <w:rPr>
          <w:rFonts w:hint="eastAsia" w:ascii="仿宋" w:hAnsi="仿宋" w:eastAsia="仿宋" w:cs="仿宋"/>
          <w:b/>
          <w:sz w:val="36"/>
        </w:rPr>
        <w:instrText xml:space="preserve">TOC \o "1-3" \h \u </w:instrText>
      </w:r>
      <w:r>
        <w:rPr>
          <w:rFonts w:hint="eastAsia" w:ascii="仿宋" w:hAnsi="仿宋" w:eastAsia="仿宋" w:cs="仿宋"/>
          <w:b/>
          <w:sz w:val="36"/>
        </w:rPr>
        <w:fldChar w:fldCharType="separate"/>
      </w:r>
    </w:p>
    <w:p w14:paraId="343145CA">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_Toc19605 </w:instrText>
      </w:r>
      <w:r>
        <w:rPr>
          <w:rFonts w:hint="eastAsia" w:ascii="仿宋" w:hAnsi="仿宋" w:eastAsia="仿宋" w:cs="仿宋"/>
        </w:rPr>
        <w:fldChar w:fldCharType="separate"/>
      </w:r>
      <w:r>
        <w:rPr>
          <w:rFonts w:hint="eastAsia" w:ascii="仿宋" w:hAnsi="仿宋" w:eastAsia="仿宋" w:cs="仿宋"/>
        </w:rPr>
        <w:t>第一章 竞争性磋商邀请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_Toc19605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rPr>
        <w:fldChar w:fldCharType="end"/>
      </w:r>
    </w:p>
    <w:p w14:paraId="04FE92A6">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_Toc21013 </w:instrText>
      </w:r>
      <w:r>
        <w:rPr>
          <w:rFonts w:hint="eastAsia" w:ascii="仿宋" w:hAnsi="仿宋" w:eastAsia="仿宋" w:cs="仿宋"/>
        </w:rPr>
        <w:fldChar w:fldCharType="separate"/>
      </w:r>
      <w:r>
        <w:rPr>
          <w:rFonts w:hint="eastAsia" w:ascii="仿宋" w:hAnsi="仿宋" w:eastAsia="仿宋" w:cs="仿宋"/>
        </w:rPr>
        <w:t>第二章 供应商须知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_Toc21013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rPr>
        <w:fldChar w:fldCharType="end"/>
      </w:r>
    </w:p>
    <w:p w14:paraId="1FD512E8">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_Toc18028 </w:instrText>
      </w:r>
      <w:r>
        <w:rPr>
          <w:rFonts w:hint="eastAsia" w:ascii="仿宋" w:hAnsi="仿宋" w:eastAsia="仿宋" w:cs="仿宋"/>
        </w:rPr>
        <w:fldChar w:fldCharType="separate"/>
      </w:r>
      <w:r>
        <w:rPr>
          <w:rFonts w:hint="eastAsia" w:ascii="仿宋" w:hAnsi="仿宋" w:eastAsia="仿宋" w:cs="仿宋"/>
          <w:szCs w:val="24"/>
        </w:rPr>
        <w:t>2.1供应商须知前附表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_Toc18028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rPr>
        <w:fldChar w:fldCharType="end"/>
      </w:r>
    </w:p>
    <w:p w14:paraId="01C4497D">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_Toc25751 </w:instrText>
      </w:r>
      <w:r>
        <w:rPr>
          <w:rFonts w:hint="eastAsia" w:ascii="仿宋" w:hAnsi="仿宋" w:eastAsia="仿宋" w:cs="仿宋"/>
        </w:rPr>
        <w:fldChar w:fldCharType="separate"/>
      </w:r>
      <w:r>
        <w:rPr>
          <w:rFonts w:hint="eastAsia" w:ascii="仿宋" w:hAnsi="仿宋" w:eastAsia="仿宋" w:cs="仿宋"/>
          <w:szCs w:val="24"/>
        </w:rPr>
        <w:t>2.2总则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_Toc25751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rPr>
        <w:fldChar w:fldCharType="end"/>
      </w:r>
    </w:p>
    <w:p w14:paraId="4B3E17CF">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_Toc1913 </w:instrText>
      </w:r>
      <w:r>
        <w:rPr>
          <w:rFonts w:hint="eastAsia" w:ascii="仿宋" w:hAnsi="仿宋" w:eastAsia="仿宋" w:cs="仿宋"/>
        </w:rPr>
        <w:fldChar w:fldCharType="separate"/>
      </w:r>
      <w:r>
        <w:rPr>
          <w:rFonts w:hint="eastAsia" w:ascii="仿宋" w:hAnsi="仿宋" w:eastAsia="仿宋" w:cs="仿宋"/>
          <w:szCs w:val="24"/>
        </w:rPr>
        <w:t>2.3磋商文件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_Toc1913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rPr>
        <w:fldChar w:fldCharType="end"/>
      </w:r>
    </w:p>
    <w:p w14:paraId="7AF65347">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_Toc6617 </w:instrText>
      </w:r>
      <w:r>
        <w:rPr>
          <w:rFonts w:hint="eastAsia" w:ascii="仿宋" w:hAnsi="仿宋" w:eastAsia="仿宋" w:cs="仿宋"/>
        </w:rPr>
        <w:fldChar w:fldCharType="separate"/>
      </w:r>
      <w:r>
        <w:rPr>
          <w:rFonts w:hint="eastAsia" w:ascii="仿宋" w:hAnsi="仿宋" w:eastAsia="仿宋" w:cs="仿宋"/>
          <w:szCs w:val="24"/>
        </w:rPr>
        <w:t>2.4响应文件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_Toc6617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rPr>
        <w:fldChar w:fldCharType="end"/>
      </w:r>
    </w:p>
    <w:p w14:paraId="43F21478">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_Toc22546 </w:instrText>
      </w:r>
      <w:r>
        <w:rPr>
          <w:rFonts w:hint="eastAsia" w:ascii="仿宋" w:hAnsi="仿宋" w:eastAsia="仿宋" w:cs="仿宋"/>
        </w:rPr>
        <w:fldChar w:fldCharType="separate"/>
      </w:r>
      <w:r>
        <w:rPr>
          <w:rFonts w:hint="eastAsia" w:ascii="仿宋" w:hAnsi="仿宋" w:eastAsia="仿宋" w:cs="仿宋"/>
          <w:szCs w:val="24"/>
        </w:rPr>
        <w:t>2.5开启、资格审查、磋商和确定成交供应商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_Toc22546 \h </w:instrText>
      </w:r>
      <w:r>
        <w:rPr>
          <w:rFonts w:hint="eastAsia" w:ascii="仿宋" w:hAnsi="仿宋" w:eastAsia="仿宋" w:cs="仿宋"/>
        </w:rPr>
        <w:fldChar w:fldCharType="separate"/>
      </w:r>
      <w:r>
        <w:rPr>
          <w:rFonts w:hint="eastAsia" w:ascii="仿宋" w:hAnsi="仿宋" w:eastAsia="仿宋" w:cs="仿宋"/>
        </w:rPr>
        <w:t>13</w:t>
      </w:r>
      <w:r>
        <w:rPr>
          <w:rFonts w:hint="eastAsia" w:ascii="仿宋" w:hAnsi="仿宋" w:eastAsia="仿宋" w:cs="仿宋"/>
        </w:rPr>
        <w:fldChar w:fldCharType="end"/>
      </w:r>
      <w:r>
        <w:rPr>
          <w:rFonts w:hint="eastAsia" w:ascii="仿宋" w:hAnsi="仿宋" w:eastAsia="仿宋" w:cs="仿宋"/>
        </w:rPr>
        <w:fldChar w:fldCharType="end"/>
      </w:r>
    </w:p>
    <w:p w14:paraId="16123E5E">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_Toc18950 </w:instrText>
      </w:r>
      <w:r>
        <w:rPr>
          <w:rFonts w:hint="eastAsia" w:ascii="仿宋" w:hAnsi="仿宋" w:eastAsia="仿宋" w:cs="仿宋"/>
        </w:rPr>
        <w:fldChar w:fldCharType="separate"/>
      </w:r>
      <w:r>
        <w:rPr>
          <w:rFonts w:hint="eastAsia" w:ascii="仿宋" w:hAnsi="仿宋" w:eastAsia="仿宋" w:cs="仿宋"/>
          <w:szCs w:val="24"/>
        </w:rPr>
        <w:t>2.6签订及履行合同和验收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_Toc18950 \h </w:instrText>
      </w:r>
      <w:r>
        <w:rPr>
          <w:rFonts w:hint="eastAsia" w:ascii="仿宋" w:hAnsi="仿宋" w:eastAsia="仿宋" w:cs="仿宋"/>
        </w:rPr>
        <w:fldChar w:fldCharType="separate"/>
      </w:r>
      <w:r>
        <w:rPr>
          <w:rFonts w:hint="eastAsia" w:ascii="仿宋" w:hAnsi="仿宋" w:eastAsia="仿宋" w:cs="仿宋"/>
        </w:rPr>
        <w:t>15</w:t>
      </w:r>
      <w:r>
        <w:rPr>
          <w:rFonts w:hint="eastAsia" w:ascii="仿宋" w:hAnsi="仿宋" w:eastAsia="仿宋" w:cs="仿宋"/>
        </w:rPr>
        <w:fldChar w:fldCharType="end"/>
      </w:r>
      <w:r>
        <w:rPr>
          <w:rFonts w:hint="eastAsia" w:ascii="仿宋" w:hAnsi="仿宋" w:eastAsia="仿宋" w:cs="仿宋"/>
        </w:rPr>
        <w:fldChar w:fldCharType="end"/>
      </w:r>
    </w:p>
    <w:p w14:paraId="50451A57">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_Toc2114 </w:instrText>
      </w:r>
      <w:r>
        <w:rPr>
          <w:rFonts w:hint="eastAsia" w:ascii="仿宋" w:hAnsi="仿宋" w:eastAsia="仿宋" w:cs="仿宋"/>
        </w:rPr>
        <w:fldChar w:fldCharType="separate"/>
      </w:r>
      <w:r>
        <w:rPr>
          <w:rFonts w:hint="eastAsia" w:ascii="仿宋" w:hAnsi="仿宋" w:eastAsia="仿宋" w:cs="仿宋"/>
          <w:szCs w:val="24"/>
        </w:rPr>
        <w:t>2.7纪律要求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_Toc2114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rPr>
        <w:fldChar w:fldCharType="end"/>
      </w:r>
    </w:p>
    <w:p w14:paraId="2F24B67D">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_Toc889 </w:instrText>
      </w:r>
      <w:r>
        <w:rPr>
          <w:rFonts w:hint="eastAsia" w:ascii="仿宋" w:hAnsi="仿宋" w:eastAsia="仿宋" w:cs="仿宋"/>
        </w:rPr>
        <w:fldChar w:fldCharType="separate"/>
      </w:r>
      <w:r>
        <w:rPr>
          <w:rFonts w:hint="eastAsia" w:ascii="仿宋" w:hAnsi="仿宋" w:eastAsia="仿宋" w:cs="仿宋"/>
          <w:szCs w:val="24"/>
        </w:rPr>
        <w:t>2.8询问、质疑和投诉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_Toc889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rPr>
        <w:fldChar w:fldCharType="end"/>
      </w:r>
    </w:p>
    <w:p w14:paraId="4B2450D7">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_Toc22911 </w:instrText>
      </w:r>
      <w:r>
        <w:rPr>
          <w:rFonts w:hint="eastAsia" w:ascii="仿宋" w:hAnsi="仿宋" w:eastAsia="仿宋" w:cs="仿宋"/>
        </w:rPr>
        <w:fldChar w:fldCharType="separate"/>
      </w:r>
      <w:r>
        <w:rPr>
          <w:rFonts w:hint="eastAsia" w:ascii="仿宋" w:hAnsi="仿宋" w:eastAsia="仿宋" w:cs="仿宋"/>
        </w:rPr>
        <w:t>第三章 磋商项目技术、服务、商务及其他要求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_Toc22911 \h </w:instrText>
      </w:r>
      <w:r>
        <w:rPr>
          <w:rFonts w:hint="eastAsia" w:ascii="仿宋" w:hAnsi="仿宋" w:eastAsia="仿宋" w:cs="仿宋"/>
        </w:rPr>
        <w:fldChar w:fldCharType="separate"/>
      </w:r>
      <w:r>
        <w:rPr>
          <w:rFonts w:hint="eastAsia" w:ascii="仿宋" w:hAnsi="仿宋" w:eastAsia="仿宋" w:cs="仿宋"/>
        </w:rPr>
        <w:t>20</w:t>
      </w:r>
      <w:r>
        <w:rPr>
          <w:rFonts w:hint="eastAsia" w:ascii="仿宋" w:hAnsi="仿宋" w:eastAsia="仿宋" w:cs="仿宋"/>
        </w:rPr>
        <w:fldChar w:fldCharType="end"/>
      </w:r>
      <w:r>
        <w:rPr>
          <w:rFonts w:hint="eastAsia" w:ascii="仿宋" w:hAnsi="仿宋" w:eastAsia="仿宋" w:cs="仿宋"/>
        </w:rPr>
        <w:fldChar w:fldCharType="end"/>
      </w:r>
    </w:p>
    <w:p w14:paraId="0B444FF9">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_Toc1047 </w:instrText>
      </w:r>
      <w:r>
        <w:rPr>
          <w:rFonts w:hint="eastAsia" w:ascii="仿宋" w:hAnsi="仿宋" w:eastAsia="仿宋" w:cs="仿宋"/>
        </w:rPr>
        <w:fldChar w:fldCharType="separate"/>
      </w:r>
      <w:r>
        <w:rPr>
          <w:rFonts w:hint="eastAsia" w:ascii="仿宋" w:hAnsi="仿宋" w:eastAsia="仿宋" w:cs="仿宋"/>
          <w:szCs w:val="24"/>
        </w:rPr>
        <w:t>3.1采购项目概况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_Toc1047 \h </w:instrText>
      </w:r>
      <w:r>
        <w:rPr>
          <w:rFonts w:hint="eastAsia" w:ascii="仿宋" w:hAnsi="仿宋" w:eastAsia="仿宋" w:cs="仿宋"/>
        </w:rPr>
        <w:fldChar w:fldCharType="separate"/>
      </w:r>
      <w:r>
        <w:rPr>
          <w:rFonts w:hint="eastAsia" w:ascii="仿宋" w:hAnsi="仿宋" w:eastAsia="仿宋" w:cs="仿宋"/>
        </w:rPr>
        <w:t>20</w:t>
      </w:r>
      <w:r>
        <w:rPr>
          <w:rFonts w:hint="eastAsia" w:ascii="仿宋" w:hAnsi="仿宋" w:eastAsia="仿宋" w:cs="仿宋"/>
        </w:rPr>
        <w:fldChar w:fldCharType="end"/>
      </w:r>
      <w:r>
        <w:rPr>
          <w:rFonts w:hint="eastAsia" w:ascii="仿宋" w:hAnsi="仿宋" w:eastAsia="仿宋" w:cs="仿宋"/>
        </w:rPr>
        <w:fldChar w:fldCharType="end"/>
      </w:r>
    </w:p>
    <w:p w14:paraId="04876B71">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_Toc13127 </w:instrText>
      </w:r>
      <w:r>
        <w:rPr>
          <w:rFonts w:hint="eastAsia" w:ascii="仿宋" w:hAnsi="仿宋" w:eastAsia="仿宋" w:cs="仿宋"/>
        </w:rPr>
        <w:fldChar w:fldCharType="separate"/>
      </w:r>
      <w:r>
        <w:rPr>
          <w:rFonts w:hint="eastAsia" w:ascii="仿宋" w:hAnsi="仿宋" w:eastAsia="仿宋" w:cs="仿宋"/>
          <w:szCs w:val="24"/>
        </w:rPr>
        <w:t>3.2服务内容及服务要求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_Toc13127 \h </w:instrText>
      </w:r>
      <w:r>
        <w:rPr>
          <w:rFonts w:hint="eastAsia" w:ascii="仿宋" w:hAnsi="仿宋" w:eastAsia="仿宋" w:cs="仿宋"/>
        </w:rPr>
        <w:fldChar w:fldCharType="separate"/>
      </w:r>
      <w:r>
        <w:rPr>
          <w:rFonts w:hint="eastAsia" w:ascii="仿宋" w:hAnsi="仿宋" w:eastAsia="仿宋" w:cs="仿宋"/>
        </w:rPr>
        <w:t>20</w:t>
      </w:r>
      <w:r>
        <w:rPr>
          <w:rFonts w:hint="eastAsia" w:ascii="仿宋" w:hAnsi="仿宋" w:eastAsia="仿宋" w:cs="仿宋"/>
        </w:rPr>
        <w:fldChar w:fldCharType="end"/>
      </w:r>
      <w:r>
        <w:rPr>
          <w:rFonts w:hint="eastAsia" w:ascii="仿宋" w:hAnsi="仿宋" w:eastAsia="仿宋" w:cs="仿宋"/>
        </w:rPr>
        <w:fldChar w:fldCharType="end"/>
      </w:r>
    </w:p>
    <w:p w14:paraId="1BB6CF8C">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_Toc14850 </w:instrText>
      </w:r>
      <w:r>
        <w:rPr>
          <w:rFonts w:hint="eastAsia" w:ascii="仿宋" w:hAnsi="仿宋" w:eastAsia="仿宋" w:cs="仿宋"/>
        </w:rPr>
        <w:fldChar w:fldCharType="separate"/>
      </w:r>
      <w:r>
        <w:rPr>
          <w:rFonts w:hint="eastAsia" w:ascii="仿宋" w:hAnsi="仿宋" w:eastAsia="仿宋" w:cs="仿宋"/>
          <w:szCs w:val="24"/>
        </w:rPr>
        <w:t>3.2.2服务要求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_Toc14850 \h </w:instrText>
      </w:r>
      <w:r>
        <w:rPr>
          <w:rFonts w:hint="eastAsia" w:ascii="仿宋" w:hAnsi="仿宋" w:eastAsia="仿宋" w:cs="仿宋"/>
        </w:rPr>
        <w:fldChar w:fldCharType="separate"/>
      </w:r>
      <w:r>
        <w:rPr>
          <w:rFonts w:hint="eastAsia" w:ascii="仿宋" w:hAnsi="仿宋" w:eastAsia="仿宋" w:cs="仿宋"/>
        </w:rPr>
        <w:t>20</w:t>
      </w:r>
      <w:r>
        <w:rPr>
          <w:rFonts w:hint="eastAsia" w:ascii="仿宋" w:hAnsi="仿宋" w:eastAsia="仿宋" w:cs="仿宋"/>
        </w:rPr>
        <w:fldChar w:fldCharType="end"/>
      </w:r>
      <w:r>
        <w:rPr>
          <w:rFonts w:hint="eastAsia" w:ascii="仿宋" w:hAnsi="仿宋" w:eastAsia="仿宋" w:cs="仿宋"/>
        </w:rPr>
        <w:fldChar w:fldCharType="end"/>
      </w:r>
    </w:p>
    <w:p w14:paraId="7B528041">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_Toc17757 </w:instrText>
      </w:r>
      <w:r>
        <w:rPr>
          <w:rFonts w:hint="eastAsia" w:ascii="仿宋" w:hAnsi="仿宋" w:eastAsia="仿宋" w:cs="仿宋"/>
        </w:rPr>
        <w:fldChar w:fldCharType="separate"/>
      </w:r>
      <w:r>
        <w:rPr>
          <w:rFonts w:hint="eastAsia" w:ascii="仿宋" w:hAnsi="仿宋" w:eastAsia="仿宋" w:cs="仿宋"/>
          <w:szCs w:val="24"/>
        </w:rPr>
        <w:t>3.2.3人员配置要求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_Toc17757 \h </w:instrText>
      </w:r>
      <w:r>
        <w:rPr>
          <w:rFonts w:hint="eastAsia" w:ascii="仿宋" w:hAnsi="仿宋" w:eastAsia="仿宋" w:cs="仿宋"/>
        </w:rPr>
        <w:fldChar w:fldCharType="separate"/>
      </w:r>
      <w:r>
        <w:rPr>
          <w:rFonts w:hint="eastAsia" w:ascii="仿宋" w:hAnsi="仿宋" w:eastAsia="仿宋" w:cs="仿宋"/>
        </w:rPr>
        <w:t>23</w:t>
      </w:r>
      <w:r>
        <w:rPr>
          <w:rFonts w:hint="eastAsia" w:ascii="仿宋" w:hAnsi="仿宋" w:eastAsia="仿宋" w:cs="仿宋"/>
        </w:rPr>
        <w:fldChar w:fldCharType="end"/>
      </w:r>
      <w:r>
        <w:rPr>
          <w:rFonts w:hint="eastAsia" w:ascii="仿宋" w:hAnsi="仿宋" w:eastAsia="仿宋" w:cs="仿宋"/>
        </w:rPr>
        <w:fldChar w:fldCharType="end"/>
      </w:r>
    </w:p>
    <w:p w14:paraId="25F650EB">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_Toc28507 </w:instrText>
      </w:r>
      <w:r>
        <w:rPr>
          <w:rFonts w:hint="eastAsia" w:ascii="仿宋" w:hAnsi="仿宋" w:eastAsia="仿宋" w:cs="仿宋"/>
        </w:rPr>
        <w:fldChar w:fldCharType="separate"/>
      </w:r>
      <w:r>
        <w:rPr>
          <w:rFonts w:hint="eastAsia" w:ascii="仿宋" w:hAnsi="仿宋" w:eastAsia="仿宋" w:cs="仿宋"/>
          <w:szCs w:val="24"/>
        </w:rPr>
        <w:t>3.2.4设施设备要求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_Toc28507 \h </w:instrText>
      </w:r>
      <w:r>
        <w:rPr>
          <w:rFonts w:hint="eastAsia" w:ascii="仿宋" w:hAnsi="仿宋" w:eastAsia="仿宋" w:cs="仿宋"/>
        </w:rPr>
        <w:fldChar w:fldCharType="separate"/>
      </w:r>
      <w:r>
        <w:rPr>
          <w:rFonts w:hint="eastAsia" w:ascii="仿宋" w:hAnsi="仿宋" w:eastAsia="仿宋" w:cs="仿宋"/>
        </w:rPr>
        <w:t>23</w:t>
      </w:r>
      <w:r>
        <w:rPr>
          <w:rFonts w:hint="eastAsia" w:ascii="仿宋" w:hAnsi="仿宋" w:eastAsia="仿宋" w:cs="仿宋"/>
        </w:rPr>
        <w:fldChar w:fldCharType="end"/>
      </w:r>
      <w:r>
        <w:rPr>
          <w:rFonts w:hint="eastAsia" w:ascii="仿宋" w:hAnsi="仿宋" w:eastAsia="仿宋" w:cs="仿宋"/>
        </w:rPr>
        <w:fldChar w:fldCharType="end"/>
      </w:r>
    </w:p>
    <w:p w14:paraId="4DE37A02">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_Toc19746 </w:instrText>
      </w:r>
      <w:r>
        <w:rPr>
          <w:rFonts w:hint="eastAsia" w:ascii="仿宋" w:hAnsi="仿宋" w:eastAsia="仿宋" w:cs="仿宋"/>
        </w:rPr>
        <w:fldChar w:fldCharType="separate"/>
      </w:r>
      <w:r>
        <w:rPr>
          <w:rFonts w:hint="eastAsia" w:ascii="仿宋" w:hAnsi="仿宋" w:eastAsia="仿宋" w:cs="仿宋"/>
          <w:szCs w:val="24"/>
        </w:rPr>
        <w:t>3.2.5其他要求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_Toc19746 \h </w:instrText>
      </w:r>
      <w:r>
        <w:rPr>
          <w:rFonts w:hint="eastAsia" w:ascii="仿宋" w:hAnsi="仿宋" w:eastAsia="仿宋" w:cs="仿宋"/>
        </w:rPr>
        <w:fldChar w:fldCharType="separate"/>
      </w:r>
      <w:r>
        <w:rPr>
          <w:rFonts w:hint="eastAsia" w:ascii="仿宋" w:hAnsi="仿宋" w:eastAsia="仿宋" w:cs="仿宋"/>
        </w:rPr>
        <w:t>23</w:t>
      </w:r>
      <w:r>
        <w:rPr>
          <w:rFonts w:hint="eastAsia" w:ascii="仿宋" w:hAnsi="仿宋" w:eastAsia="仿宋" w:cs="仿宋"/>
        </w:rPr>
        <w:fldChar w:fldCharType="end"/>
      </w:r>
      <w:r>
        <w:rPr>
          <w:rFonts w:hint="eastAsia" w:ascii="仿宋" w:hAnsi="仿宋" w:eastAsia="仿宋" w:cs="仿宋"/>
        </w:rPr>
        <w:fldChar w:fldCharType="end"/>
      </w:r>
    </w:p>
    <w:p w14:paraId="1893571B">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_Toc8375 </w:instrText>
      </w:r>
      <w:r>
        <w:rPr>
          <w:rFonts w:hint="eastAsia" w:ascii="仿宋" w:hAnsi="仿宋" w:eastAsia="仿宋" w:cs="仿宋"/>
        </w:rPr>
        <w:fldChar w:fldCharType="separate"/>
      </w:r>
      <w:r>
        <w:rPr>
          <w:rFonts w:hint="eastAsia" w:ascii="仿宋" w:hAnsi="仿宋" w:eastAsia="仿宋" w:cs="仿宋"/>
          <w:szCs w:val="24"/>
        </w:rPr>
        <w:t>3.3商务要求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_Toc8375 \h </w:instrText>
      </w:r>
      <w:r>
        <w:rPr>
          <w:rFonts w:hint="eastAsia" w:ascii="仿宋" w:hAnsi="仿宋" w:eastAsia="仿宋" w:cs="仿宋"/>
        </w:rPr>
        <w:fldChar w:fldCharType="separate"/>
      </w:r>
      <w:r>
        <w:rPr>
          <w:rFonts w:hint="eastAsia" w:ascii="仿宋" w:hAnsi="仿宋" w:eastAsia="仿宋" w:cs="仿宋"/>
        </w:rPr>
        <w:t>23</w:t>
      </w:r>
      <w:r>
        <w:rPr>
          <w:rFonts w:hint="eastAsia" w:ascii="仿宋" w:hAnsi="仿宋" w:eastAsia="仿宋" w:cs="仿宋"/>
        </w:rPr>
        <w:fldChar w:fldCharType="end"/>
      </w:r>
      <w:r>
        <w:rPr>
          <w:rFonts w:hint="eastAsia" w:ascii="仿宋" w:hAnsi="仿宋" w:eastAsia="仿宋" w:cs="仿宋"/>
        </w:rPr>
        <w:fldChar w:fldCharType="end"/>
      </w:r>
    </w:p>
    <w:p w14:paraId="1DCA813E">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_Toc7852 </w:instrText>
      </w:r>
      <w:r>
        <w:rPr>
          <w:rFonts w:hint="eastAsia" w:ascii="仿宋" w:hAnsi="仿宋" w:eastAsia="仿宋" w:cs="仿宋"/>
        </w:rPr>
        <w:fldChar w:fldCharType="separate"/>
      </w:r>
      <w:r>
        <w:rPr>
          <w:rFonts w:hint="eastAsia" w:ascii="仿宋" w:hAnsi="仿宋" w:eastAsia="仿宋" w:cs="仿宋"/>
          <w:szCs w:val="24"/>
        </w:rPr>
        <w:t>3.4其他要求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_Toc7852 \h </w:instrText>
      </w:r>
      <w:r>
        <w:rPr>
          <w:rFonts w:hint="eastAsia" w:ascii="仿宋" w:hAnsi="仿宋" w:eastAsia="仿宋" w:cs="仿宋"/>
        </w:rPr>
        <w:fldChar w:fldCharType="separate"/>
      </w:r>
      <w:r>
        <w:rPr>
          <w:rFonts w:hint="eastAsia" w:ascii="仿宋" w:hAnsi="仿宋" w:eastAsia="仿宋" w:cs="仿宋"/>
        </w:rPr>
        <w:t>24</w:t>
      </w:r>
      <w:r>
        <w:rPr>
          <w:rFonts w:hint="eastAsia" w:ascii="仿宋" w:hAnsi="仿宋" w:eastAsia="仿宋" w:cs="仿宋"/>
        </w:rPr>
        <w:fldChar w:fldCharType="end"/>
      </w:r>
      <w:r>
        <w:rPr>
          <w:rFonts w:hint="eastAsia" w:ascii="仿宋" w:hAnsi="仿宋" w:eastAsia="仿宋" w:cs="仿宋"/>
        </w:rPr>
        <w:fldChar w:fldCharType="end"/>
      </w:r>
    </w:p>
    <w:p w14:paraId="3C23D9CB">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_Toc15456 </w:instrText>
      </w:r>
      <w:r>
        <w:rPr>
          <w:rFonts w:hint="eastAsia" w:ascii="仿宋" w:hAnsi="仿宋" w:eastAsia="仿宋" w:cs="仿宋"/>
        </w:rPr>
        <w:fldChar w:fldCharType="separate"/>
      </w:r>
      <w:r>
        <w:rPr>
          <w:rFonts w:hint="eastAsia" w:ascii="仿宋" w:hAnsi="仿宋" w:eastAsia="仿宋" w:cs="仿宋"/>
        </w:rPr>
        <w:t>第四章 资格审查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_Toc15456 \h </w:instrText>
      </w:r>
      <w:r>
        <w:rPr>
          <w:rFonts w:hint="eastAsia" w:ascii="仿宋" w:hAnsi="仿宋" w:eastAsia="仿宋" w:cs="仿宋"/>
        </w:rPr>
        <w:fldChar w:fldCharType="separate"/>
      </w:r>
      <w:r>
        <w:rPr>
          <w:rFonts w:hint="eastAsia" w:ascii="仿宋" w:hAnsi="仿宋" w:eastAsia="仿宋" w:cs="仿宋"/>
        </w:rPr>
        <w:t>25</w:t>
      </w:r>
      <w:r>
        <w:rPr>
          <w:rFonts w:hint="eastAsia" w:ascii="仿宋" w:hAnsi="仿宋" w:eastAsia="仿宋" w:cs="仿宋"/>
        </w:rPr>
        <w:fldChar w:fldCharType="end"/>
      </w:r>
      <w:r>
        <w:rPr>
          <w:rFonts w:hint="eastAsia" w:ascii="仿宋" w:hAnsi="仿宋" w:eastAsia="仿宋" w:cs="仿宋"/>
        </w:rPr>
        <w:fldChar w:fldCharType="end"/>
      </w:r>
    </w:p>
    <w:p w14:paraId="4A69B058">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_Toc22396 </w:instrText>
      </w:r>
      <w:r>
        <w:rPr>
          <w:rFonts w:hint="eastAsia" w:ascii="仿宋" w:hAnsi="仿宋" w:eastAsia="仿宋" w:cs="仿宋"/>
        </w:rPr>
        <w:fldChar w:fldCharType="separate"/>
      </w:r>
      <w:r>
        <w:rPr>
          <w:rFonts w:hint="eastAsia" w:ascii="仿宋" w:hAnsi="仿宋" w:eastAsia="仿宋" w:cs="仿宋"/>
        </w:rPr>
        <w:t>第五章 磋商过程中可实质性变动的内容</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_Toc22396 \h </w:instrText>
      </w:r>
      <w:r>
        <w:rPr>
          <w:rFonts w:hint="eastAsia" w:ascii="仿宋" w:hAnsi="仿宋" w:eastAsia="仿宋" w:cs="仿宋"/>
        </w:rPr>
        <w:fldChar w:fldCharType="separate"/>
      </w:r>
      <w:r>
        <w:rPr>
          <w:rFonts w:hint="eastAsia" w:ascii="仿宋" w:hAnsi="仿宋" w:eastAsia="仿宋" w:cs="仿宋"/>
        </w:rPr>
        <w:t>28</w:t>
      </w:r>
      <w:r>
        <w:rPr>
          <w:rFonts w:hint="eastAsia" w:ascii="仿宋" w:hAnsi="仿宋" w:eastAsia="仿宋" w:cs="仿宋"/>
        </w:rPr>
        <w:fldChar w:fldCharType="end"/>
      </w:r>
      <w:r>
        <w:rPr>
          <w:rFonts w:hint="eastAsia" w:ascii="仿宋" w:hAnsi="仿宋" w:eastAsia="仿宋" w:cs="仿宋"/>
        </w:rPr>
        <w:fldChar w:fldCharType="end"/>
      </w:r>
    </w:p>
    <w:p w14:paraId="635D7FC4">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_Toc14507 </w:instrText>
      </w:r>
      <w:r>
        <w:rPr>
          <w:rFonts w:hint="eastAsia" w:ascii="仿宋" w:hAnsi="仿宋" w:eastAsia="仿宋" w:cs="仿宋"/>
        </w:rPr>
        <w:fldChar w:fldCharType="separate"/>
      </w:r>
      <w:r>
        <w:rPr>
          <w:rFonts w:hint="eastAsia" w:ascii="仿宋" w:hAnsi="仿宋" w:eastAsia="仿宋" w:cs="仿宋"/>
        </w:rPr>
        <w:t>第六章 磋商办法</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_Toc14507 \h </w:instrText>
      </w:r>
      <w:r>
        <w:rPr>
          <w:rFonts w:hint="eastAsia" w:ascii="仿宋" w:hAnsi="仿宋" w:eastAsia="仿宋" w:cs="仿宋"/>
        </w:rPr>
        <w:fldChar w:fldCharType="separate"/>
      </w:r>
      <w:r>
        <w:rPr>
          <w:rFonts w:hint="eastAsia" w:ascii="仿宋" w:hAnsi="仿宋" w:eastAsia="仿宋" w:cs="仿宋"/>
        </w:rPr>
        <w:t>29</w:t>
      </w:r>
      <w:r>
        <w:rPr>
          <w:rFonts w:hint="eastAsia" w:ascii="仿宋" w:hAnsi="仿宋" w:eastAsia="仿宋" w:cs="仿宋"/>
        </w:rPr>
        <w:fldChar w:fldCharType="end"/>
      </w:r>
      <w:r>
        <w:rPr>
          <w:rFonts w:hint="eastAsia" w:ascii="仿宋" w:hAnsi="仿宋" w:eastAsia="仿宋" w:cs="仿宋"/>
        </w:rPr>
        <w:fldChar w:fldCharType="end"/>
      </w:r>
    </w:p>
    <w:p w14:paraId="50E4D5D8">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_Toc4104 </w:instrText>
      </w:r>
      <w:r>
        <w:rPr>
          <w:rFonts w:hint="eastAsia" w:ascii="仿宋" w:hAnsi="仿宋" w:eastAsia="仿宋" w:cs="仿宋"/>
        </w:rPr>
        <w:fldChar w:fldCharType="separate"/>
      </w:r>
      <w:r>
        <w:rPr>
          <w:rFonts w:hint="eastAsia" w:ascii="仿宋" w:hAnsi="仿宋" w:eastAsia="仿宋" w:cs="仿宋"/>
          <w:szCs w:val="24"/>
        </w:rPr>
        <w:t>6.1总则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_Toc4104 \h </w:instrText>
      </w:r>
      <w:r>
        <w:rPr>
          <w:rFonts w:hint="eastAsia" w:ascii="仿宋" w:hAnsi="仿宋" w:eastAsia="仿宋" w:cs="仿宋"/>
        </w:rPr>
        <w:fldChar w:fldCharType="separate"/>
      </w:r>
      <w:r>
        <w:rPr>
          <w:rFonts w:hint="eastAsia" w:ascii="仿宋" w:hAnsi="仿宋" w:eastAsia="仿宋" w:cs="仿宋"/>
        </w:rPr>
        <w:t>29</w:t>
      </w:r>
      <w:r>
        <w:rPr>
          <w:rFonts w:hint="eastAsia" w:ascii="仿宋" w:hAnsi="仿宋" w:eastAsia="仿宋" w:cs="仿宋"/>
        </w:rPr>
        <w:fldChar w:fldCharType="end"/>
      </w:r>
      <w:r>
        <w:rPr>
          <w:rFonts w:hint="eastAsia" w:ascii="仿宋" w:hAnsi="仿宋" w:eastAsia="仿宋" w:cs="仿宋"/>
        </w:rPr>
        <w:fldChar w:fldCharType="end"/>
      </w:r>
    </w:p>
    <w:p w14:paraId="6F558365">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_Toc8673 </w:instrText>
      </w:r>
      <w:r>
        <w:rPr>
          <w:rFonts w:hint="eastAsia" w:ascii="仿宋" w:hAnsi="仿宋" w:eastAsia="仿宋" w:cs="仿宋"/>
        </w:rPr>
        <w:fldChar w:fldCharType="separate"/>
      </w:r>
      <w:r>
        <w:rPr>
          <w:rFonts w:hint="eastAsia" w:ascii="仿宋" w:hAnsi="仿宋" w:eastAsia="仿宋" w:cs="仿宋"/>
          <w:szCs w:val="24"/>
        </w:rPr>
        <w:t>6.2 磋商小组</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_Toc8673 \h </w:instrText>
      </w:r>
      <w:r>
        <w:rPr>
          <w:rFonts w:hint="eastAsia" w:ascii="仿宋" w:hAnsi="仿宋" w:eastAsia="仿宋" w:cs="仿宋"/>
        </w:rPr>
        <w:fldChar w:fldCharType="separate"/>
      </w:r>
      <w:r>
        <w:rPr>
          <w:rFonts w:hint="eastAsia" w:ascii="仿宋" w:hAnsi="仿宋" w:eastAsia="仿宋" w:cs="仿宋"/>
        </w:rPr>
        <w:t>29</w:t>
      </w:r>
      <w:r>
        <w:rPr>
          <w:rFonts w:hint="eastAsia" w:ascii="仿宋" w:hAnsi="仿宋" w:eastAsia="仿宋" w:cs="仿宋"/>
        </w:rPr>
        <w:fldChar w:fldCharType="end"/>
      </w:r>
      <w:r>
        <w:rPr>
          <w:rFonts w:hint="eastAsia" w:ascii="仿宋" w:hAnsi="仿宋" w:eastAsia="仿宋" w:cs="仿宋"/>
        </w:rPr>
        <w:fldChar w:fldCharType="end"/>
      </w:r>
    </w:p>
    <w:p w14:paraId="31FF0E8C">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_Toc19061 </w:instrText>
      </w:r>
      <w:r>
        <w:rPr>
          <w:rFonts w:hint="eastAsia" w:ascii="仿宋" w:hAnsi="仿宋" w:eastAsia="仿宋" w:cs="仿宋"/>
        </w:rPr>
        <w:fldChar w:fldCharType="separate"/>
      </w:r>
      <w:r>
        <w:rPr>
          <w:rFonts w:hint="eastAsia" w:ascii="仿宋" w:hAnsi="仿宋" w:eastAsia="仿宋" w:cs="仿宋"/>
          <w:szCs w:val="24"/>
        </w:rPr>
        <w:t>6.3评审程序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_Toc19061 \h </w:instrText>
      </w:r>
      <w:r>
        <w:rPr>
          <w:rFonts w:hint="eastAsia" w:ascii="仿宋" w:hAnsi="仿宋" w:eastAsia="仿宋" w:cs="仿宋"/>
        </w:rPr>
        <w:fldChar w:fldCharType="separate"/>
      </w:r>
      <w:r>
        <w:rPr>
          <w:rFonts w:hint="eastAsia" w:ascii="仿宋" w:hAnsi="仿宋" w:eastAsia="仿宋" w:cs="仿宋"/>
        </w:rPr>
        <w:t>30</w:t>
      </w:r>
      <w:r>
        <w:rPr>
          <w:rFonts w:hint="eastAsia" w:ascii="仿宋" w:hAnsi="仿宋" w:eastAsia="仿宋" w:cs="仿宋"/>
        </w:rPr>
        <w:fldChar w:fldCharType="end"/>
      </w:r>
      <w:r>
        <w:rPr>
          <w:rFonts w:hint="eastAsia" w:ascii="仿宋" w:hAnsi="仿宋" w:eastAsia="仿宋" w:cs="仿宋"/>
        </w:rPr>
        <w:fldChar w:fldCharType="end"/>
      </w:r>
    </w:p>
    <w:p w14:paraId="64F4C164">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_Toc1167 </w:instrText>
      </w:r>
      <w:r>
        <w:rPr>
          <w:rFonts w:hint="eastAsia" w:ascii="仿宋" w:hAnsi="仿宋" w:eastAsia="仿宋" w:cs="仿宋"/>
        </w:rPr>
        <w:fldChar w:fldCharType="separate"/>
      </w:r>
      <w:r>
        <w:rPr>
          <w:rFonts w:hint="eastAsia" w:ascii="仿宋" w:hAnsi="仿宋" w:eastAsia="仿宋" w:cs="仿宋"/>
          <w:szCs w:val="24"/>
        </w:rPr>
        <w:t>6.4评审办法及标准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_Toc1167 \h </w:instrText>
      </w:r>
      <w:r>
        <w:rPr>
          <w:rFonts w:hint="eastAsia" w:ascii="仿宋" w:hAnsi="仿宋" w:eastAsia="仿宋" w:cs="仿宋"/>
        </w:rPr>
        <w:fldChar w:fldCharType="separate"/>
      </w:r>
      <w:r>
        <w:rPr>
          <w:rFonts w:hint="eastAsia" w:ascii="仿宋" w:hAnsi="仿宋" w:eastAsia="仿宋" w:cs="仿宋"/>
        </w:rPr>
        <w:t>36</w:t>
      </w:r>
      <w:r>
        <w:rPr>
          <w:rFonts w:hint="eastAsia" w:ascii="仿宋" w:hAnsi="仿宋" w:eastAsia="仿宋" w:cs="仿宋"/>
        </w:rPr>
        <w:fldChar w:fldCharType="end"/>
      </w:r>
      <w:r>
        <w:rPr>
          <w:rFonts w:hint="eastAsia" w:ascii="仿宋" w:hAnsi="仿宋" w:eastAsia="仿宋" w:cs="仿宋"/>
        </w:rPr>
        <w:fldChar w:fldCharType="end"/>
      </w:r>
    </w:p>
    <w:p w14:paraId="13FC86BD">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_Toc4143 </w:instrText>
      </w:r>
      <w:r>
        <w:rPr>
          <w:rFonts w:hint="eastAsia" w:ascii="仿宋" w:hAnsi="仿宋" w:eastAsia="仿宋" w:cs="仿宋"/>
        </w:rPr>
        <w:fldChar w:fldCharType="separate"/>
      </w:r>
      <w:r>
        <w:rPr>
          <w:rFonts w:hint="eastAsia" w:ascii="仿宋" w:hAnsi="仿宋" w:eastAsia="仿宋" w:cs="仿宋"/>
          <w:szCs w:val="24"/>
        </w:rPr>
        <w:t>6.5终止采购活动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_Toc4143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rPr>
        <w:fldChar w:fldCharType="end"/>
      </w:r>
    </w:p>
    <w:p w14:paraId="1F08B532">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_Toc32570 </w:instrText>
      </w:r>
      <w:r>
        <w:rPr>
          <w:rFonts w:hint="eastAsia" w:ascii="仿宋" w:hAnsi="仿宋" w:eastAsia="仿宋" w:cs="仿宋"/>
        </w:rPr>
        <w:fldChar w:fldCharType="separate"/>
      </w:r>
      <w:r>
        <w:rPr>
          <w:rFonts w:hint="eastAsia" w:ascii="仿宋" w:hAnsi="仿宋" w:eastAsia="仿宋" w:cs="仿宋"/>
          <w:szCs w:val="24"/>
        </w:rPr>
        <w:t>6.6确定成交供应商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_Toc32570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rPr>
        <w:fldChar w:fldCharType="end"/>
      </w:r>
    </w:p>
    <w:p w14:paraId="329E2BC7">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_Toc32070 </w:instrText>
      </w:r>
      <w:r>
        <w:rPr>
          <w:rFonts w:hint="eastAsia" w:ascii="仿宋" w:hAnsi="仿宋" w:eastAsia="仿宋" w:cs="仿宋"/>
        </w:rPr>
        <w:fldChar w:fldCharType="separate"/>
      </w:r>
      <w:r>
        <w:rPr>
          <w:rFonts w:hint="eastAsia" w:ascii="仿宋" w:hAnsi="仿宋" w:eastAsia="仿宋" w:cs="仿宋"/>
          <w:szCs w:val="24"/>
        </w:rPr>
        <w:t>6.7评审专家在政府采购活动中承担以下义务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_Toc32070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rPr>
        <w:fldChar w:fldCharType="end"/>
      </w:r>
    </w:p>
    <w:p w14:paraId="006C0B87">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_Toc24264 </w:instrText>
      </w:r>
      <w:r>
        <w:rPr>
          <w:rFonts w:hint="eastAsia" w:ascii="仿宋" w:hAnsi="仿宋" w:eastAsia="仿宋" w:cs="仿宋"/>
        </w:rPr>
        <w:fldChar w:fldCharType="separate"/>
      </w:r>
      <w:r>
        <w:rPr>
          <w:rFonts w:hint="eastAsia" w:ascii="仿宋" w:hAnsi="仿宋" w:eastAsia="仿宋" w:cs="仿宋"/>
          <w:szCs w:val="24"/>
        </w:rPr>
        <w:t>6.8评审专家在政府采购活动中应当遵守以下工作纪律</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_Toc24264 \h </w:instrText>
      </w:r>
      <w:r>
        <w:rPr>
          <w:rFonts w:hint="eastAsia" w:ascii="仿宋" w:hAnsi="仿宋" w:eastAsia="仿宋" w:cs="仿宋"/>
        </w:rPr>
        <w:fldChar w:fldCharType="separate"/>
      </w:r>
      <w:r>
        <w:rPr>
          <w:rFonts w:hint="eastAsia" w:ascii="仿宋" w:hAnsi="仿宋" w:eastAsia="仿宋" w:cs="仿宋"/>
        </w:rPr>
        <w:t>43</w:t>
      </w:r>
      <w:r>
        <w:rPr>
          <w:rFonts w:hint="eastAsia" w:ascii="仿宋" w:hAnsi="仿宋" w:eastAsia="仿宋" w:cs="仿宋"/>
        </w:rPr>
        <w:fldChar w:fldCharType="end"/>
      </w:r>
      <w:r>
        <w:rPr>
          <w:rFonts w:hint="eastAsia" w:ascii="仿宋" w:hAnsi="仿宋" w:eastAsia="仿宋" w:cs="仿宋"/>
        </w:rPr>
        <w:fldChar w:fldCharType="end"/>
      </w:r>
    </w:p>
    <w:p w14:paraId="2B80DB4E">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_Toc12222 </w:instrText>
      </w:r>
      <w:r>
        <w:rPr>
          <w:rFonts w:hint="eastAsia" w:ascii="仿宋" w:hAnsi="仿宋" w:eastAsia="仿宋" w:cs="仿宋"/>
        </w:rPr>
        <w:fldChar w:fldCharType="separate"/>
      </w:r>
      <w:r>
        <w:rPr>
          <w:rFonts w:hint="eastAsia" w:ascii="仿宋" w:hAnsi="仿宋" w:eastAsia="仿宋" w:cs="仿宋"/>
        </w:rPr>
        <w:t>第七章 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_Toc12222 \h </w:instrText>
      </w:r>
      <w:r>
        <w:rPr>
          <w:rFonts w:hint="eastAsia" w:ascii="仿宋" w:hAnsi="仿宋" w:eastAsia="仿宋" w:cs="仿宋"/>
        </w:rPr>
        <w:fldChar w:fldCharType="separate"/>
      </w:r>
      <w:r>
        <w:rPr>
          <w:rFonts w:hint="eastAsia" w:ascii="仿宋" w:hAnsi="仿宋" w:eastAsia="仿宋" w:cs="仿宋"/>
        </w:rPr>
        <w:t>44</w:t>
      </w:r>
      <w:r>
        <w:rPr>
          <w:rFonts w:hint="eastAsia" w:ascii="仿宋" w:hAnsi="仿宋" w:eastAsia="仿宋" w:cs="仿宋"/>
        </w:rPr>
        <w:fldChar w:fldCharType="end"/>
      </w:r>
      <w:r>
        <w:rPr>
          <w:rFonts w:hint="eastAsia" w:ascii="仿宋" w:hAnsi="仿宋" w:eastAsia="仿宋" w:cs="仿宋"/>
        </w:rPr>
        <w:fldChar w:fldCharType="end"/>
      </w:r>
    </w:p>
    <w:p w14:paraId="59A4004F">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exact"/>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_Toc30149 </w:instrText>
      </w:r>
      <w:r>
        <w:rPr>
          <w:rFonts w:hint="eastAsia" w:ascii="仿宋" w:hAnsi="仿宋" w:eastAsia="仿宋" w:cs="仿宋"/>
        </w:rPr>
        <w:fldChar w:fldCharType="separate"/>
      </w:r>
      <w:r>
        <w:rPr>
          <w:rFonts w:hint="eastAsia" w:ascii="仿宋" w:hAnsi="仿宋" w:eastAsia="仿宋" w:cs="仿宋"/>
        </w:rPr>
        <w:t>第八章 拟签订采购合同文本</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_Toc30149 \h </w:instrText>
      </w:r>
      <w:r>
        <w:rPr>
          <w:rFonts w:hint="eastAsia" w:ascii="仿宋" w:hAnsi="仿宋" w:eastAsia="仿宋" w:cs="仿宋"/>
        </w:rPr>
        <w:fldChar w:fldCharType="separate"/>
      </w:r>
      <w:r>
        <w:rPr>
          <w:rFonts w:hint="eastAsia" w:ascii="仿宋" w:hAnsi="仿宋" w:eastAsia="仿宋" w:cs="仿宋"/>
        </w:rPr>
        <w:t>67</w:t>
      </w:r>
      <w:r>
        <w:rPr>
          <w:rFonts w:hint="eastAsia" w:ascii="仿宋" w:hAnsi="仿宋" w:eastAsia="仿宋" w:cs="仿宋"/>
        </w:rPr>
        <w:fldChar w:fldCharType="end"/>
      </w:r>
      <w:r>
        <w:rPr>
          <w:rFonts w:hint="eastAsia" w:ascii="仿宋" w:hAnsi="仿宋" w:eastAsia="仿宋" w:cs="仿宋"/>
        </w:rPr>
        <w:fldChar w:fldCharType="end"/>
      </w:r>
    </w:p>
    <w:p w14:paraId="5CB1D002">
      <w:pPr>
        <w:rPr>
          <w:rFonts w:hint="eastAsia" w:ascii="仿宋" w:hAnsi="仿宋" w:eastAsia="仿宋" w:cs="仿宋"/>
          <w:kern w:val="2"/>
          <w:sz w:val="21"/>
          <w:szCs w:val="24"/>
          <w:lang w:val="en-US" w:eastAsia="zh-CN" w:bidi="ar-SA"/>
        </w:rPr>
      </w:pPr>
      <w:r>
        <w:rPr>
          <w:rFonts w:hint="eastAsia" w:ascii="仿宋" w:hAnsi="仿宋" w:eastAsia="仿宋" w:cs="仿宋"/>
        </w:rPr>
        <w:fldChar w:fldCharType="end"/>
      </w:r>
    </w:p>
    <w:p w14:paraId="686DB985">
      <w:pPr>
        <w:rPr>
          <w:rFonts w:hint="eastAsia" w:ascii="仿宋" w:hAnsi="仿宋" w:eastAsia="仿宋" w:cs="仿宋"/>
          <w:kern w:val="2"/>
          <w:sz w:val="21"/>
          <w:szCs w:val="24"/>
          <w:lang w:val="en-US" w:eastAsia="zh-CN" w:bidi="ar-SA"/>
        </w:rPr>
      </w:pPr>
    </w:p>
    <w:p w14:paraId="512B8B92">
      <w:pPr>
        <w:rPr>
          <w:rFonts w:hint="eastAsia" w:ascii="仿宋" w:hAnsi="仿宋" w:eastAsia="仿宋" w:cs="仿宋"/>
          <w:b/>
          <w:sz w:val="36"/>
        </w:rPr>
      </w:pPr>
      <w:bookmarkStart w:id="7" w:name="_Toc19605"/>
      <w:r>
        <w:rPr>
          <w:rFonts w:hint="eastAsia" w:ascii="仿宋" w:hAnsi="仿宋" w:eastAsia="仿宋" w:cs="仿宋"/>
          <w:b/>
          <w:sz w:val="36"/>
        </w:rPr>
        <w:br w:type="page"/>
      </w:r>
    </w:p>
    <w:p w14:paraId="1D866066">
      <w:pPr>
        <w:pStyle w:val="13"/>
        <w:jc w:val="center"/>
        <w:outlineLvl w:val="1"/>
        <w:rPr>
          <w:rFonts w:hint="eastAsia" w:ascii="仿宋" w:hAnsi="仿宋" w:eastAsia="仿宋" w:cs="仿宋"/>
        </w:rPr>
      </w:pPr>
      <w:r>
        <w:rPr>
          <w:rFonts w:hint="eastAsia" w:ascii="仿宋" w:hAnsi="仿宋" w:eastAsia="仿宋" w:cs="仿宋"/>
          <w:b/>
          <w:sz w:val="36"/>
        </w:rPr>
        <w:t>第一章 竞争性磋商邀请</w:t>
      </w:r>
      <w:bookmarkEnd w:id="7"/>
    </w:p>
    <w:p w14:paraId="11A811F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中招(陕西)项目管理有限公司（以下简称“代理机构”）受西安市应急管理局（本级）委托，拟对2026年全市中小企业主要负责人和安全管理人员培训项目(二次)采用竞争性磋商采购方式进行采购，兹邀请供应商参加本项目的竞争性磋商。</w:t>
      </w:r>
    </w:p>
    <w:p w14:paraId="55C5C5D7">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8" w:name="_Toc5380"/>
      <w:r>
        <w:rPr>
          <w:rFonts w:hint="eastAsia" w:ascii="仿宋" w:hAnsi="仿宋" w:eastAsia="仿宋" w:cs="仿宋"/>
          <w:b/>
          <w:sz w:val="24"/>
          <w:szCs w:val="24"/>
        </w:rPr>
        <w:t>一、项目编号：ZZZC2026-011.1B1</w:t>
      </w:r>
      <w:bookmarkEnd w:id="8"/>
    </w:p>
    <w:p w14:paraId="0ABF26CF">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9" w:name="_Toc5825"/>
      <w:r>
        <w:rPr>
          <w:rFonts w:hint="eastAsia" w:ascii="仿宋" w:hAnsi="仿宋" w:eastAsia="仿宋" w:cs="仿宋"/>
          <w:b/>
          <w:sz w:val="24"/>
          <w:szCs w:val="24"/>
        </w:rPr>
        <w:t>二、项目名称：2026年全市中小企业主要负责人和安全管理人员培训项目(二次)</w:t>
      </w:r>
      <w:bookmarkEnd w:id="9"/>
    </w:p>
    <w:p w14:paraId="1481B9FB">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10" w:name="_Toc3675"/>
      <w:r>
        <w:rPr>
          <w:rFonts w:hint="eastAsia" w:ascii="仿宋" w:hAnsi="仿宋" w:eastAsia="仿宋" w:cs="仿宋"/>
          <w:b/>
          <w:sz w:val="24"/>
          <w:szCs w:val="24"/>
        </w:rPr>
        <w:t>三、磋商项目简介</w:t>
      </w:r>
      <w:bookmarkEnd w:id="10"/>
    </w:p>
    <w:p w14:paraId="08C5C50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2026年全市中小企业主要负责人和安全管理人员培训项目拟依托干部教育培训机构完成，本项目坚持安全第一、预防为主，坚持分类、全面覆盖，通过持续强化重点行业领域中小企业主要负责人和安全生产管理人员安全生产及工伤预防培训，督促企业牢固树立安全发展理念，全面提高从业人员工伤预防意识和安全防范技能，不断提升企业本质安全水平，有效防范遏制各类生产安全事故发生。参训学员全部封闭式住宿管理，每期培训时间为5天，采取专题讲座、案例警示、分组讨论等面授方式组织培训，培训人数约660人。</w:t>
      </w:r>
    </w:p>
    <w:p w14:paraId="7870C5EF">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11" w:name="_Toc18253"/>
      <w:r>
        <w:rPr>
          <w:rFonts w:hint="eastAsia" w:ascii="仿宋" w:hAnsi="仿宋" w:eastAsia="仿宋" w:cs="仿宋"/>
          <w:b/>
          <w:sz w:val="24"/>
          <w:szCs w:val="24"/>
        </w:rPr>
        <w:t>四、邀请供应商</w:t>
      </w:r>
      <w:bookmarkEnd w:id="11"/>
    </w:p>
    <w:p w14:paraId="5DB58087">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本次采购采取公告征集邀请磋商的供应商。</w:t>
      </w:r>
    </w:p>
    <w:p w14:paraId="29E5EE98">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公告征集：本次竞争性磋商在“陕西省政府采购网（www.ccgp-shaanxi.gov.cn）”上以公告形式发布，兹邀请符合本次采购要求的供应商参加本项目的竞争性磋商。</w:t>
      </w:r>
    </w:p>
    <w:p w14:paraId="2FFE54C4">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12" w:name="_Toc15014"/>
      <w:r>
        <w:rPr>
          <w:rFonts w:hint="eastAsia" w:ascii="仿宋" w:hAnsi="仿宋" w:eastAsia="仿宋" w:cs="仿宋"/>
          <w:b/>
          <w:sz w:val="24"/>
          <w:szCs w:val="24"/>
        </w:rPr>
        <w:t>五、供应商参加本次政府采购活动应具备的条件</w:t>
      </w:r>
      <w:bookmarkEnd w:id="12"/>
    </w:p>
    <w:p w14:paraId="0F03A98E">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（一）满足《中华人民共和国政府采购法》第二十二条规定；</w:t>
      </w:r>
    </w:p>
    <w:p w14:paraId="675CB46C">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（二）落实政府采购政策需满足的资格要求：</w:t>
      </w:r>
    </w:p>
    <w:p w14:paraId="09C93251">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落实政府采购促进中小企业发展的相关政策：</w:t>
      </w:r>
    </w:p>
    <w:p w14:paraId="5614C197">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无</w:t>
      </w:r>
    </w:p>
    <w:p w14:paraId="47DA93C6">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（三）本项目的特定资格要求：</w:t>
      </w:r>
    </w:p>
    <w:p w14:paraId="38B82EDD">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0DFB6C6D">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1、提供供应商合法注册的法人或其他组织的营业执照/事业单位法人证书/非企业专业服务机构执业许可证/民办非企业单位登记证书：提供供应商合法注册的法人或其他组织的营业执照/事业单位法人证书/非企业专业服务机构执业许可证/民办非企业单位登记证书；</w:t>
      </w:r>
    </w:p>
    <w:p w14:paraId="3E5444A5">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2、财务状况报告：财务状况报告：提供具有财务审计资质单位出具合法有效的2024年度或2025年度财务报告（成立时间至开标时间不足一年的可提供成立后任意时段的资产负债表）或开标前六个月内其基本开户银行出具的资信证明或政府采购信用担保机构出具的担保函；注：财会〔2023〕15号文《财政部 国务院国资委 金融监管总局关于加强审计报告查验工作的通知》会计师事务所应当主动向被审计单位提供附验证码的审计报告。即2023年及以后的审计报告需附验证码；</w:t>
      </w:r>
    </w:p>
    <w:p w14:paraId="0293C415">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3、税收缴纳证明：税收缴纳证明：提供截止至开标时间前一年内任意一个月的缴纳凭据（增值税、企业所得税至少提供一种，依法免税的供应商应提供相关文件证明）；</w:t>
      </w:r>
    </w:p>
    <w:p w14:paraId="3EBE101A">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4、社会保障资金缴纳证明：社会保障资金缴纳证明：提供截止至开标时间前一年内任意一个月的社保缴纳凭据或社保机构开具的社会保险参保缴纳情况证明（依法不需要缴纳社会保障资金的供应商应提供相关证明）；</w:t>
      </w:r>
    </w:p>
    <w:p w14:paraId="15173480">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5、提供具有履行本合同所必需的设备和专业技术能力的说明及承诺：提供具有履行本合同所必需的设备和专业技术能力的说明及承诺（提供书面说明及承诺，加盖供应商公章）；</w:t>
      </w:r>
    </w:p>
    <w:p w14:paraId="42126D64">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6、提供参加政府采购活动前三年内在经营活动中没有重大违法记录的书面声明：提供参加政府采购活动前三年内在经营活动中没有重大违法记录的书面声明（提供书面声明，加盖供应商公章）；</w:t>
      </w:r>
    </w:p>
    <w:p w14:paraId="75C74941">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7、法定代表人授权委托书：法定代表人授权委托书（附法定代表人身份证复印件及被授权人身份证复印件）；法定代表人直接参加磋商提供法定代表人资格证明书（附法定代表人身份证复印件）；采购文件凡是法定代表人之处，非法人单位的负责人均参照执行（式样见响应文件格式）；</w:t>
      </w:r>
    </w:p>
    <w:p w14:paraId="4BB3884F">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8、信用查询：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根据财库〔2019〕38号文规定，此项在磋商截止日当天在“信用中国”网站和中国政府采购网站进行查询，截图留档；如网站无供应商信息的，供应商须提供相关证明资料或书面声明）；</w:t>
      </w:r>
    </w:p>
    <w:p w14:paraId="3295F76D">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9、控股关系查询：单位负责人为同一人或者存在直接控股、管理关系的不同供应商，不得参加同一合同项下的政府采购活动。（根据财库〔2019〕38号文规定，此项在磋商截止日当天在“国家企业信用信息公示系统”进行查询，截图留档；如网站无供应商信息的，供应商须提供相关证明资料或书面声明）。</w:t>
      </w:r>
    </w:p>
    <w:p w14:paraId="5EE26B58">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13" w:name="_Toc19903"/>
      <w:r>
        <w:rPr>
          <w:rFonts w:hint="eastAsia" w:ascii="仿宋" w:hAnsi="仿宋" w:eastAsia="仿宋" w:cs="仿宋"/>
          <w:b/>
          <w:sz w:val="24"/>
          <w:szCs w:val="24"/>
        </w:rPr>
        <w:t>六、电子化采购相关事项</w:t>
      </w:r>
      <w:bookmarkEnd w:id="13"/>
    </w:p>
    <w:p w14:paraId="0D3F80A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3B036DAF">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32687813">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B94F7C7">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2312453E">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04448A61">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（三）供应商应当自行准备电子化采购所需的计算机终端、软硬件及网络环境，承担因准备不足产生的不利后果。</w:t>
      </w:r>
    </w:p>
    <w:p w14:paraId="042C2A2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（四）政府采购平台技术支持：</w:t>
      </w:r>
    </w:p>
    <w:p w14:paraId="72E13034">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在线客服：通过陕西省政府采购网-在线服务进行咨询。</w:t>
      </w:r>
    </w:p>
    <w:p w14:paraId="36A855D6">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技术服务电话：029-96702。</w:t>
      </w:r>
    </w:p>
    <w:p w14:paraId="41625B9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CA及签章服务：通过陕西省政府采购网-办事指南-CA及签章服务查看CA办理流程。</w:t>
      </w:r>
    </w:p>
    <w:p w14:paraId="14734314">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14" w:name="_Toc13813"/>
      <w:r>
        <w:rPr>
          <w:rFonts w:hint="eastAsia" w:ascii="仿宋" w:hAnsi="仿宋" w:eastAsia="仿宋" w:cs="仿宋"/>
          <w:b/>
          <w:sz w:val="24"/>
          <w:szCs w:val="24"/>
        </w:rPr>
        <w:t>七、竞争性磋商文件获取时间、方式及地址</w:t>
      </w:r>
      <w:bookmarkEnd w:id="14"/>
    </w:p>
    <w:p w14:paraId="2FC1531A">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（一）磋商文件获取时间：详见采购公告或邀请书。</w:t>
      </w:r>
    </w:p>
    <w:p w14:paraId="3FFBFE14">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6F1974C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2815A25F">
      <w:pPr>
        <w:pStyle w:val="13"/>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注：获取的磋商文件主体格式包括pdf、word两种格式版本，其中以pdf格式为准。</w:t>
      </w:r>
    </w:p>
    <w:p w14:paraId="3121BA74">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15" w:name="_Toc7683"/>
      <w:r>
        <w:rPr>
          <w:rFonts w:hint="eastAsia" w:ascii="仿宋" w:hAnsi="仿宋" w:eastAsia="仿宋" w:cs="仿宋"/>
          <w:b/>
          <w:sz w:val="24"/>
          <w:szCs w:val="24"/>
        </w:rPr>
        <w:t>八、首次响应文件提交截止时间及开启时间、地点、方式</w:t>
      </w:r>
      <w:bookmarkEnd w:id="15"/>
    </w:p>
    <w:p w14:paraId="4DD78B4F">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（一）提交首次响应文件截止时间及开启时间：详见采购公告或邀请书。</w:t>
      </w:r>
    </w:p>
    <w:p w14:paraId="276A29DA">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（二）响应文件提交方式、地点：供应商应当在提交首次响应文件截止时间前，通过项目电子化交易系统提交响应文件。成功提交的，供应商将收到已提交响应文件的回执函。</w:t>
      </w:r>
    </w:p>
    <w:p w14:paraId="0DEB30AC">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16" w:name="_Toc13365"/>
      <w:r>
        <w:rPr>
          <w:rFonts w:hint="eastAsia" w:ascii="仿宋" w:hAnsi="仿宋" w:eastAsia="仿宋" w:cs="仿宋"/>
          <w:b/>
          <w:sz w:val="24"/>
          <w:szCs w:val="24"/>
        </w:rPr>
        <w:t>九、磋商方式</w:t>
      </w:r>
      <w:bookmarkEnd w:id="16"/>
    </w:p>
    <w:p w14:paraId="4CA729C3">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6AFDFBEB">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17" w:name="_Toc13629"/>
      <w:r>
        <w:rPr>
          <w:rFonts w:hint="eastAsia" w:ascii="仿宋" w:hAnsi="仿宋" w:eastAsia="仿宋" w:cs="仿宋"/>
          <w:b/>
          <w:sz w:val="24"/>
          <w:szCs w:val="24"/>
        </w:rPr>
        <w:t>十、供应商信用融资</w:t>
      </w:r>
      <w:bookmarkEnd w:id="17"/>
    </w:p>
    <w:p w14:paraId="2DD05E0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7877E868">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18" w:name="_Toc6976"/>
      <w:r>
        <w:rPr>
          <w:rFonts w:hint="eastAsia" w:ascii="仿宋" w:hAnsi="仿宋" w:eastAsia="仿宋" w:cs="仿宋"/>
          <w:b/>
          <w:sz w:val="24"/>
          <w:szCs w:val="24"/>
        </w:rPr>
        <w:t>十一、联系方式</w:t>
      </w:r>
      <w:bookmarkEnd w:id="18"/>
    </w:p>
    <w:p w14:paraId="6F05D003">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采购人： 西安市应急管理局（本级）</w:t>
      </w:r>
    </w:p>
    <w:p w14:paraId="1B48D39E">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地址： 西安市凤城七路旭辉中心2号楼</w:t>
      </w:r>
    </w:p>
    <w:p w14:paraId="287DFFD9">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邮编： 710000</w:t>
      </w:r>
    </w:p>
    <w:p w14:paraId="285E3314">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联系人： 李老师</w:t>
      </w:r>
    </w:p>
    <w:p w14:paraId="034F9956">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联系电话： 029-86517183</w:t>
      </w:r>
    </w:p>
    <w:p w14:paraId="0DF694A9">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代理机构：中招(陕西)项目管理有限公司</w:t>
      </w:r>
    </w:p>
    <w:p w14:paraId="60F9558E">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地址： 陕西省西安市未央区北二环华帝金座A座903室</w:t>
      </w:r>
    </w:p>
    <w:p w14:paraId="41C4025B">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邮编： 710000</w:t>
      </w:r>
    </w:p>
    <w:p w14:paraId="3BD1A2E3">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联系人： 李工</w:t>
      </w:r>
    </w:p>
    <w:p w14:paraId="39C43F1F">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联系电话： 029-68656808</w:t>
      </w:r>
    </w:p>
    <w:p w14:paraId="74532FAE">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采购监督机构：西安市财政局政府采购管理处</w:t>
      </w:r>
    </w:p>
    <w:p w14:paraId="4381C61B">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联系人：杜新星</w:t>
      </w:r>
    </w:p>
    <w:p w14:paraId="7BBBAFD5">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rPr>
      </w:pPr>
      <w:r>
        <w:rPr>
          <w:rFonts w:hint="eastAsia" w:ascii="仿宋" w:hAnsi="仿宋" w:eastAsia="仿宋" w:cs="仿宋"/>
          <w:sz w:val="24"/>
          <w:szCs w:val="24"/>
        </w:rPr>
        <w:t>联系电话：029-89821846</w:t>
      </w:r>
    </w:p>
    <w:p w14:paraId="70983DBF">
      <w:pPr>
        <w:pStyle w:val="13"/>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br w:type="textWrapping"/>
      </w:r>
      <w:r>
        <w:rPr>
          <w:rFonts w:hint="eastAsia" w:ascii="仿宋" w:hAnsi="仿宋" w:eastAsia="仿宋" w:cs="仿宋"/>
        </w:rPr>
        <w:br w:type="page"/>
      </w:r>
    </w:p>
    <w:p w14:paraId="20F6D96A">
      <w:pPr>
        <w:pStyle w:val="13"/>
        <w:jc w:val="center"/>
        <w:outlineLvl w:val="1"/>
        <w:rPr>
          <w:rFonts w:hint="eastAsia" w:ascii="仿宋" w:hAnsi="仿宋" w:eastAsia="仿宋" w:cs="仿宋"/>
        </w:rPr>
      </w:pPr>
      <w:bookmarkStart w:id="19" w:name="_Toc21013"/>
      <w:r>
        <w:rPr>
          <w:rFonts w:hint="eastAsia" w:ascii="仿宋" w:hAnsi="仿宋" w:eastAsia="仿宋" w:cs="仿宋"/>
          <w:b/>
          <w:sz w:val="36"/>
        </w:rPr>
        <w:t>第二章 供应商须知</w:t>
      </w:r>
      <w:bookmarkEnd w:id="19"/>
    </w:p>
    <w:p w14:paraId="3FD68D99">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20" w:name="_Toc18028"/>
      <w:r>
        <w:rPr>
          <w:rFonts w:hint="eastAsia" w:ascii="仿宋" w:hAnsi="仿宋" w:eastAsia="仿宋" w:cs="仿宋"/>
          <w:b/>
          <w:sz w:val="24"/>
          <w:szCs w:val="24"/>
        </w:rPr>
        <w:t>2.1供应商须知前附表</w:t>
      </w:r>
      <w:bookmarkEnd w:id="20"/>
    </w:p>
    <w:tbl>
      <w:tblPr>
        <w:tblStyle w:val="10"/>
        <w:tblW w:w="9095" w:type="dxa"/>
        <w:tblInd w:w="-286"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6"/>
        <w:gridCol w:w="2135"/>
        <w:gridCol w:w="6244"/>
      </w:tblGrid>
      <w:tr w14:paraId="5064E0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top"/>
          </w:tcPr>
          <w:p w14:paraId="24A0B8CD">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2135" w:type="dxa"/>
            <w:vAlign w:val="top"/>
          </w:tcPr>
          <w:p w14:paraId="2D197C18">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应知事项</w:t>
            </w:r>
          </w:p>
        </w:tc>
        <w:tc>
          <w:tcPr>
            <w:tcW w:w="6244" w:type="dxa"/>
            <w:vAlign w:val="top"/>
          </w:tcPr>
          <w:p w14:paraId="53E90E9E">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说明和要求</w:t>
            </w:r>
          </w:p>
        </w:tc>
      </w:tr>
      <w:tr w14:paraId="762574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4932ABD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2135" w:type="dxa"/>
            <w:vAlign w:val="center"/>
          </w:tcPr>
          <w:p w14:paraId="1C56E11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采购预算</w:t>
            </w:r>
          </w:p>
          <w:p w14:paraId="039C3CE9">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（实质性要求）</w:t>
            </w:r>
          </w:p>
        </w:tc>
        <w:tc>
          <w:tcPr>
            <w:tcW w:w="6244" w:type="dxa"/>
            <w:vAlign w:val="center"/>
          </w:tcPr>
          <w:p w14:paraId="05964E6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本项目各包采购预算金额如下：</w:t>
            </w:r>
          </w:p>
          <w:p w14:paraId="13672C4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采购包1：1,422,600.00元</w:t>
            </w:r>
          </w:p>
          <w:p w14:paraId="4BB7996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 供应商采购包报价高于采购包采购预算的，其响应文件将按无效处理。</w:t>
            </w:r>
          </w:p>
        </w:tc>
      </w:tr>
      <w:tr w14:paraId="62EC45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01C367D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2135" w:type="dxa"/>
            <w:vAlign w:val="center"/>
          </w:tcPr>
          <w:p w14:paraId="6106CE8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最高限价</w:t>
            </w:r>
          </w:p>
          <w:p w14:paraId="687F72D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（实质性要求）</w:t>
            </w:r>
          </w:p>
        </w:tc>
        <w:tc>
          <w:tcPr>
            <w:tcW w:w="6244" w:type="dxa"/>
            <w:vAlign w:val="center"/>
          </w:tcPr>
          <w:p w14:paraId="6EF2D1A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详见第三章。</w:t>
            </w:r>
          </w:p>
          <w:p w14:paraId="3789AC6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供应商的采购包响应报价高于最高限价的，其响应文件将按无效处理。</w:t>
            </w:r>
          </w:p>
        </w:tc>
      </w:tr>
      <w:tr w14:paraId="4FE27F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7C4781B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2135" w:type="dxa"/>
            <w:vAlign w:val="center"/>
          </w:tcPr>
          <w:p w14:paraId="23CB3C0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评审方法</w:t>
            </w:r>
          </w:p>
        </w:tc>
        <w:tc>
          <w:tcPr>
            <w:tcW w:w="6244" w:type="dxa"/>
            <w:vAlign w:val="center"/>
          </w:tcPr>
          <w:p w14:paraId="1747BE9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综合评分法(详见第六章)。</w:t>
            </w:r>
          </w:p>
        </w:tc>
      </w:tr>
      <w:tr w14:paraId="559970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0002CD5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2135" w:type="dxa"/>
            <w:vAlign w:val="center"/>
          </w:tcPr>
          <w:p w14:paraId="397F545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是否接受联合体</w:t>
            </w:r>
          </w:p>
        </w:tc>
        <w:tc>
          <w:tcPr>
            <w:tcW w:w="6244" w:type="dxa"/>
            <w:vAlign w:val="center"/>
          </w:tcPr>
          <w:p w14:paraId="11DD8F0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采购包1：不接受 如以联合体响应的，联合体各方均应当具备本磋商文件要求的资格条件和能力。</w:t>
            </w:r>
          </w:p>
          <w:p w14:paraId="25F3B39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1.两个以上供应商可以组成一个联合体，以一个供应商的身份参加采购活动。以联合体形式参加政府采购活动的，联合体各方不得再单独参加或者与其他供应商另外组成联合体参加同一合同项下的政府采购活动。</w:t>
            </w:r>
          </w:p>
          <w:p w14:paraId="0F998D3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参加联合体的供应商均应当具备本法第二十二条规定的条件，并应当向采购人提交联合协议，载明联合体各方承担的工作和义务。联合体中有同类资质的供应商按照联合体分工承担相同工作的，应当按照资质等级较低的供应商确定资质等级。</w:t>
            </w:r>
          </w:p>
          <w:p w14:paraId="0FA8C4E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3.联合体各方应当共同与采购人签订采购合同，就采购合同约定的事项对采购人承担连带责任。</w:t>
            </w:r>
          </w:p>
        </w:tc>
      </w:tr>
      <w:tr w14:paraId="2A3C31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04B8DB8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2135" w:type="dxa"/>
            <w:vAlign w:val="center"/>
          </w:tcPr>
          <w:p w14:paraId="7C2177B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落实节能、环保产品政策</w:t>
            </w:r>
          </w:p>
        </w:tc>
        <w:tc>
          <w:tcPr>
            <w:tcW w:w="6244" w:type="dxa"/>
            <w:vAlign w:val="center"/>
          </w:tcPr>
          <w:p w14:paraId="4D64022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 1.根据《财政部 发展改革委 生态环境部 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0ED9AEE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 2.本项目采购的/产品属于节能产品政府采购品目清单中应强制采购的产品范围，供应商应当提供国家确定的认证机构出具的、处于有效期之内的节能产品认证证书，否则作无效响应处理。</w:t>
            </w:r>
          </w:p>
          <w:p w14:paraId="289359E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 3.本项目采购的/产品属于节能产品政府采购品目清单中应优先采购的产品范围，本项目采购的/产品属于环境标志产品政府采购品目清单中应优先采购的产品范围，评审得分相同的，按供应商提供的优先采购产品认证证书数量由多到少顺序排列。</w:t>
            </w:r>
          </w:p>
        </w:tc>
      </w:tr>
      <w:tr w14:paraId="6EF20F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24EB060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2135" w:type="dxa"/>
            <w:vAlign w:val="center"/>
          </w:tcPr>
          <w:p w14:paraId="37606F4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小微企业（监狱企业、残疾人福利性单位视同小微企业）价格扣除（仅非预留份额采购项目或预留份额采购项目中的非预留部分采购包适用）</w:t>
            </w:r>
          </w:p>
        </w:tc>
        <w:tc>
          <w:tcPr>
            <w:tcW w:w="6244" w:type="dxa"/>
            <w:vAlign w:val="center"/>
          </w:tcPr>
          <w:p w14:paraId="6D985C0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 （仅非预留份额采购项目或预留份额采购项目中的非预留部分采购包适用）根据《政府采购促进中小企业发展管理办法》（财库〔2020〕46号）第九条和《关于进一步加大政府采购支持中小企业力度的通知》（财库〔2022〕19号）的规定。</w:t>
            </w:r>
          </w:p>
          <w:p w14:paraId="52826A1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关于本项目采购包中执行小微企业（监狱企业、残疾人福利性单位视同小微企业）价格扣除情况、具体扣除比例和规则详见第六章。</w:t>
            </w:r>
          </w:p>
          <w:p w14:paraId="706D909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（其他情形）不适用。</w:t>
            </w:r>
          </w:p>
        </w:tc>
      </w:tr>
      <w:tr w14:paraId="0348EC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5D329B9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2135" w:type="dxa"/>
            <w:vAlign w:val="center"/>
          </w:tcPr>
          <w:p w14:paraId="296379E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本国产品价格扣除（若采购项目适用本国产品标准）</w:t>
            </w:r>
          </w:p>
        </w:tc>
        <w:tc>
          <w:tcPr>
            <w:tcW w:w="6244" w:type="dxa"/>
            <w:vAlign w:val="center"/>
          </w:tcPr>
          <w:p w14:paraId="6E5D8AB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 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六章。</w:t>
            </w:r>
          </w:p>
        </w:tc>
      </w:tr>
      <w:tr w14:paraId="330338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10BB67B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2135" w:type="dxa"/>
            <w:vAlign w:val="center"/>
          </w:tcPr>
          <w:p w14:paraId="5910866A">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充分、公平竞争保障措施（实质性要求）</w:t>
            </w:r>
          </w:p>
        </w:tc>
        <w:tc>
          <w:tcPr>
            <w:tcW w:w="6244" w:type="dxa"/>
            <w:vAlign w:val="center"/>
          </w:tcPr>
          <w:p w14:paraId="4F32379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核心产品允许有多个，不同供应商提供了任意一个相同品牌的核心产品，即视为提供相同品牌的供应商。</w:t>
            </w:r>
          </w:p>
          <w:p w14:paraId="5BB775D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 提供相同品牌产品且通过资格审查、符合性审查的不同供应商参加同一合同项下采购活动的，按一家供应商计算，评审后得分最高的同品牌供应商获得成交供应商推荐资格；最后评审得分相同的，由采购人或者采购人委托磋商小组采取随机抽取方式确定一个供应商获得成交供应商推荐资格，其他同品牌供应商不作为成交候选人。</w:t>
            </w:r>
          </w:p>
          <w:p w14:paraId="1EEB47B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核心产品清单详见第三章。</w:t>
            </w:r>
          </w:p>
          <w:p w14:paraId="3EB2764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在符合性审查、有效报价环节提供核心产品品牌不足3个的，视为有效响应供应商不足3家。</w:t>
            </w:r>
          </w:p>
        </w:tc>
      </w:tr>
      <w:tr w14:paraId="528094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493E1E8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2135" w:type="dxa"/>
            <w:vAlign w:val="center"/>
          </w:tcPr>
          <w:p w14:paraId="0B93E0D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不正当竞争预防措施（实质性要求）</w:t>
            </w:r>
          </w:p>
        </w:tc>
        <w:tc>
          <w:tcPr>
            <w:tcW w:w="6244" w:type="dxa"/>
            <w:vAlign w:val="center"/>
          </w:tcPr>
          <w:p w14:paraId="70F6F5C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 在磋商过程中，磋商小组认为供应商报价明显低于其他通过符合性审查供应商的报价，有可能影响产品质量或者不能诚信履约的，磋商小组应当要求其在合理的时间内通过项目电子化交易系统进行书面说明，必要时提交相关证明材料。供应商提交的书面说明和相关证明材料，应当加盖供应商公章，在磋商小组要求的时间内通过项目电子化交易系统进行提交，否则提交的相关材料无效，视为不能证明其响应报价合理性。供应商不能证明其响应报价合理性的，磋商小组应当将其响应文件作为无效处理。</w:t>
            </w:r>
          </w:p>
        </w:tc>
      </w:tr>
      <w:tr w14:paraId="003A54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6169501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10</w:t>
            </w:r>
          </w:p>
        </w:tc>
        <w:tc>
          <w:tcPr>
            <w:tcW w:w="2135" w:type="dxa"/>
            <w:vAlign w:val="center"/>
          </w:tcPr>
          <w:p w14:paraId="57FA103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异常低价审查</w:t>
            </w:r>
          </w:p>
        </w:tc>
        <w:tc>
          <w:tcPr>
            <w:tcW w:w="6244" w:type="dxa"/>
            <w:vAlign w:val="center"/>
          </w:tcPr>
          <w:p w14:paraId="57B0970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 本项目应执行财政部《关于推动解决政府采购异常低价问题的通知》（财库〔2026〕2号）的要求，具体内容见采购文件第六章。</w:t>
            </w:r>
          </w:p>
        </w:tc>
      </w:tr>
      <w:tr w14:paraId="6A2511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56F515C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2135" w:type="dxa"/>
            <w:vAlign w:val="center"/>
          </w:tcPr>
          <w:p w14:paraId="1F78D3E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磋商保证金</w:t>
            </w:r>
          </w:p>
        </w:tc>
        <w:tc>
          <w:tcPr>
            <w:tcW w:w="6244" w:type="dxa"/>
            <w:vAlign w:val="center"/>
          </w:tcPr>
          <w:p w14:paraId="6938733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缴交方式：否</w:t>
            </w:r>
          </w:p>
          <w:p w14:paraId="4624DB4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注：电子保函可通过陕西省政府采购金融服务平台申请办理。</w:t>
            </w:r>
          </w:p>
        </w:tc>
      </w:tr>
      <w:tr w14:paraId="501F3C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612E501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2135" w:type="dxa"/>
            <w:vAlign w:val="center"/>
          </w:tcPr>
          <w:p w14:paraId="0F8B4F8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标书费信息</w:t>
            </w:r>
          </w:p>
        </w:tc>
        <w:tc>
          <w:tcPr>
            <w:tcW w:w="6244" w:type="dxa"/>
            <w:vAlign w:val="center"/>
          </w:tcPr>
          <w:p w14:paraId="5298606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免费获取</w:t>
            </w:r>
          </w:p>
        </w:tc>
      </w:tr>
      <w:tr w14:paraId="4063E8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74354029">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13</w:t>
            </w:r>
          </w:p>
        </w:tc>
        <w:tc>
          <w:tcPr>
            <w:tcW w:w="2135" w:type="dxa"/>
            <w:vAlign w:val="center"/>
          </w:tcPr>
          <w:p w14:paraId="0226EEA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履约保证金（实质性要求）</w:t>
            </w:r>
          </w:p>
        </w:tc>
        <w:tc>
          <w:tcPr>
            <w:tcW w:w="6244" w:type="dxa"/>
            <w:vAlign w:val="center"/>
          </w:tcPr>
          <w:p w14:paraId="1CA13F5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采购包1：不缴纳</w:t>
            </w:r>
          </w:p>
        </w:tc>
      </w:tr>
      <w:tr w14:paraId="1E4D10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24ACBDCA">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14</w:t>
            </w:r>
          </w:p>
        </w:tc>
        <w:tc>
          <w:tcPr>
            <w:tcW w:w="2135" w:type="dxa"/>
            <w:vAlign w:val="center"/>
          </w:tcPr>
          <w:p w14:paraId="2A7A709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响应有效期（实质性要求）</w:t>
            </w:r>
          </w:p>
        </w:tc>
        <w:tc>
          <w:tcPr>
            <w:tcW w:w="6244" w:type="dxa"/>
            <w:vAlign w:val="center"/>
          </w:tcPr>
          <w:p w14:paraId="1EEA6F9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提交首次响应文件的截止之日起不少于90天。</w:t>
            </w:r>
          </w:p>
        </w:tc>
      </w:tr>
      <w:tr w14:paraId="7EBEBE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37E5896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15</w:t>
            </w:r>
          </w:p>
        </w:tc>
        <w:tc>
          <w:tcPr>
            <w:tcW w:w="2135" w:type="dxa"/>
            <w:vAlign w:val="center"/>
          </w:tcPr>
          <w:p w14:paraId="6F19F3D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招标代理服务费（实质性要求）</w:t>
            </w:r>
          </w:p>
        </w:tc>
        <w:tc>
          <w:tcPr>
            <w:tcW w:w="6244" w:type="dxa"/>
            <w:vAlign w:val="center"/>
          </w:tcPr>
          <w:p w14:paraId="776312B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本项目收取代理服务费</w:t>
            </w:r>
          </w:p>
          <w:p w14:paraId="6CDEF84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代理服务费用收取对象：中标/成交供应商</w:t>
            </w:r>
          </w:p>
          <w:p w14:paraId="7A46BE3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代理服务费收费标准：服务费收费标准参照原《国家计委关于印发&lt;招标代理服务收费管理暂行办法&gt;的通知》(计价格〔2002〕1980号)、《国家发展改革委关于降低部分建设项目收费标准规范收费行为等有关问题的通知》(发改价格〔2011〕534号)规定执行。 1.开户行名称：中招(陕西)项目管理有限公司 2.开 户 行：中国建设银行股份有限公司泾阳县中心街支行 3.账 号：6105 0163 7355 0911 1111 备注：供应商在汇款时须注明项目编号+项目简称</w:t>
            </w:r>
          </w:p>
        </w:tc>
      </w:tr>
      <w:tr w14:paraId="17F48D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5DC1D8D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16</w:t>
            </w:r>
          </w:p>
        </w:tc>
        <w:tc>
          <w:tcPr>
            <w:tcW w:w="2135" w:type="dxa"/>
            <w:vAlign w:val="center"/>
          </w:tcPr>
          <w:p w14:paraId="6717194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采购结果公告</w:t>
            </w:r>
          </w:p>
        </w:tc>
        <w:tc>
          <w:tcPr>
            <w:tcW w:w="6244" w:type="dxa"/>
            <w:vAlign w:val="center"/>
          </w:tcPr>
          <w:p w14:paraId="00E8121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采购结果将在陕西省政府采购网予以公告。</w:t>
            </w:r>
          </w:p>
        </w:tc>
      </w:tr>
      <w:tr w14:paraId="111098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00E55529">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17</w:t>
            </w:r>
          </w:p>
        </w:tc>
        <w:tc>
          <w:tcPr>
            <w:tcW w:w="2135" w:type="dxa"/>
            <w:vAlign w:val="center"/>
          </w:tcPr>
          <w:p w14:paraId="05AF513B">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成交通知书</w:t>
            </w:r>
          </w:p>
        </w:tc>
        <w:tc>
          <w:tcPr>
            <w:tcW w:w="6244" w:type="dxa"/>
            <w:vAlign w:val="center"/>
          </w:tcPr>
          <w:p w14:paraId="03A6A52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 采购结果公告发布的同时，采购人或代理机构通过项目电子化交易系统向成交供应商发出成交通知书；成交供应商通过项目电子化交易系统获取成交通知书。</w:t>
            </w:r>
          </w:p>
        </w:tc>
      </w:tr>
      <w:tr w14:paraId="5CC577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5E9DFF5B">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18</w:t>
            </w:r>
          </w:p>
        </w:tc>
        <w:tc>
          <w:tcPr>
            <w:tcW w:w="2135" w:type="dxa"/>
            <w:vAlign w:val="center"/>
          </w:tcPr>
          <w:p w14:paraId="0B7D9B5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政府采购合同公告、备案</w:t>
            </w:r>
          </w:p>
        </w:tc>
        <w:tc>
          <w:tcPr>
            <w:tcW w:w="6244" w:type="dxa"/>
            <w:vAlign w:val="center"/>
          </w:tcPr>
          <w:p w14:paraId="322614E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14:paraId="4AEDD1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6772782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19</w:t>
            </w:r>
          </w:p>
        </w:tc>
        <w:tc>
          <w:tcPr>
            <w:tcW w:w="2135" w:type="dxa"/>
            <w:vAlign w:val="center"/>
          </w:tcPr>
          <w:p w14:paraId="2FBAA31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进口产品</w:t>
            </w:r>
          </w:p>
        </w:tc>
        <w:tc>
          <w:tcPr>
            <w:tcW w:w="6244" w:type="dxa"/>
            <w:vAlign w:val="center"/>
          </w:tcPr>
          <w:p w14:paraId="001F9BE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不允许</w:t>
            </w:r>
          </w:p>
        </w:tc>
      </w:tr>
      <w:tr w14:paraId="2A1E0E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26454C5A">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20</w:t>
            </w:r>
          </w:p>
        </w:tc>
        <w:tc>
          <w:tcPr>
            <w:tcW w:w="2135" w:type="dxa"/>
            <w:vAlign w:val="center"/>
          </w:tcPr>
          <w:p w14:paraId="43908E7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是否组织潜在供应商现场考察</w:t>
            </w:r>
          </w:p>
        </w:tc>
        <w:tc>
          <w:tcPr>
            <w:tcW w:w="6244" w:type="dxa"/>
            <w:vAlign w:val="center"/>
          </w:tcPr>
          <w:p w14:paraId="3BA5B97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采购包1：组织现场踏勘：否</w:t>
            </w:r>
          </w:p>
        </w:tc>
      </w:tr>
      <w:tr w14:paraId="6CCD10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5A9DF0C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21</w:t>
            </w:r>
          </w:p>
        </w:tc>
        <w:tc>
          <w:tcPr>
            <w:tcW w:w="2135" w:type="dxa"/>
            <w:vAlign w:val="center"/>
          </w:tcPr>
          <w:p w14:paraId="00C587A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特殊情况</w:t>
            </w:r>
          </w:p>
        </w:tc>
        <w:tc>
          <w:tcPr>
            <w:tcW w:w="6244" w:type="dxa"/>
            <w:vAlign w:val="center"/>
          </w:tcPr>
          <w:p w14:paraId="181CA93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出现下列情形之一的，采购人或者代理机构应当中止电子化采购活动，并保留相关证明材料备查： </w:t>
            </w:r>
          </w:p>
          <w:p w14:paraId="634E875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（一）交易系统发生故障（包括感染病毒、应用或数据库出错）而无法正常使用的；</w:t>
            </w:r>
          </w:p>
          <w:p w14:paraId="776D6BCA">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（二）因组织场所停电、断网等原因，导致采购活动无法继续通过交易系统实施的；</w:t>
            </w:r>
          </w:p>
          <w:p w14:paraId="6A5F6B1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（三）其他无法保证电子化交易的公平、公正和安全的情况。</w:t>
            </w:r>
          </w:p>
          <w:p w14:paraId="7944047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出现上述的情形，不影响采购公平、公正的，采购人或者代理机构可以待上述情形消除后继续组织采购活动；影响或者可能影响采购公平、公正的，采购人或者代理机构应当依法终止采购活动。</w:t>
            </w:r>
          </w:p>
        </w:tc>
      </w:tr>
      <w:tr w14:paraId="3C12E8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437703A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22</w:t>
            </w:r>
          </w:p>
        </w:tc>
        <w:tc>
          <w:tcPr>
            <w:tcW w:w="2135" w:type="dxa"/>
            <w:vAlign w:val="center"/>
          </w:tcPr>
          <w:p w14:paraId="7CE7C7F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其他说明</w:t>
            </w:r>
          </w:p>
        </w:tc>
        <w:tc>
          <w:tcPr>
            <w:tcW w:w="6244" w:type="dxa"/>
            <w:vAlign w:val="center"/>
          </w:tcPr>
          <w:p w14:paraId="5B9F2C4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本磋商文件所称的“以上”、“以下”、“内”、“以内”、“不少于”包括本数；所称的“不足”、“低于”、“超过”不包括本数。</w:t>
            </w:r>
          </w:p>
        </w:tc>
      </w:tr>
    </w:tbl>
    <w:p w14:paraId="36818146">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21" w:name="_Toc25751"/>
      <w:r>
        <w:rPr>
          <w:rFonts w:hint="eastAsia" w:ascii="仿宋" w:hAnsi="仿宋" w:eastAsia="仿宋" w:cs="仿宋"/>
          <w:b/>
          <w:sz w:val="24"/>
          <w:szCs w:val="24"/>
        </w:rPr>
        <w:t>2.2总则</w:t>
      </w:r>
      <w:bookmarkEnd w:id="21"/>
    </w:p>
    <w:p w14:paraId="1DDD3DAA">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2.2.1适用范围</w:t>
      </w:r>
    </w:p>
    <w:p w14:paraId="58A6AED3">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一、本磋商文件仅适用于本次竞争性磋商采购项目。</w:t>
      </w:r>
    </w:p>
    <w:p w14:paraId="79814B24">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本磋商文件的最终解释权由西安市应急管理局（本级）和中招(陕西)项目管理有限公司享有。对磋商文件中供应商参加本次政府采购活动应当具备的条件，磋商项目技术、服务、商务及其他要求，评审细则及标准由西安市应急管理局（本级）负责解释。除上述磋商文件内容，其他内容由中招(陕西)项目管理有限公司负责解释。</w:t>
      </w:r>
    </w:p>
    <w:p w14:paraId="5837E480">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2.2.2有关定义</w:t>
      </w:r>
    </w:p>
    <w:p w14:paraId="7EB90AC1">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一、“采购人”是指依法进行政府采购的各级国家机关、事业单位、团体组织。本次磋商的采购人是西安市应急管理局（本级）。</w:t>
      </w:r>
    </w:p>
    <w:p w14:paraId="401F9321">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二、“供应商”是指在按照磋商公告规定获取磋商文件，拟参加响应和向采购人提供货物、工程或服务的法人、其他组织或自然人。</w:t>
      </w:r>
    </w:p>
    <w:p w14:paraId="16330FB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三、“代理机构”是指政府采购集中采购机构和从事政府采购代理业务的社会中介机构。本项目的代理机构是中招(陕西)项目管理有限公司。</w:t>
      </w:r>
    </w:p>
    <w:p w14:paraId="2179A89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四、“网上开启”是指供应商通过项目电子化交易系统在线完成签到、响应文件解密后，采购人或者采购代理机构通过项目电子化交易系统在线完成已解密响应文件的开启工作。</w:t>
      </w:r>
    </w:p>
    <w:p w14:paraId="3A6DD2F3">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五、“电子评审”是指通过项目电子化交易系统在线完成资格审查小组、磋商小组组建，开展资格和符合性审查、比较与评价、出具磋商报告、推荐成交候选供应商等活动。</w:t>
      </w:r>
    </w:p>
    <w:p w14:paraId="053FA1B8">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2.2.3响应费用（实质性要求）</w:t>
      </w:r>
    </w:p>
    <w:p w14:paraId="6C3E11AB">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供应商应自行承担参加竞争性磋商采购活动的全部费用。</w:t>
      </w:r>
    </w:p>
    <w:p w14:paraId="399512C8">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22" w:name="_Toc1913"/>
      <w:r>
        <w:rPr>
          <w:rFonts w:hint="eastAsia" w:ascii="仿宋" w:hAnsi="仿宋" w:eastAsia="仿宋" w:cs="仿宋"/>
          <w:b/>
          <w:sz w:val="24"/>
          <w:szCs w:val="24"/>
        </w:rPr>
        <w:t>2.3磋商文件</w:t>
      </w:r>
      <w:bookmarkEnd w:id="22"/>
    </w:p>
    <w:p w14:paraId="7AACCE2E">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2.3.1磋商文件的构成</w:t>
      </w:r>
    </w:p>
    <w:p w14:paraId="08191AA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磋商文件是供应商准备响应文件和参加响应的依据，同时也是评审的重要依据。磋商文件用以阐明磋商项目所需的资质、技术、服务及报价等要求、磋商程序、有关规定和注意事项以及合同草案条款等。本磋商文件包括以下内容：</w:t>
      </w:r>
    </w:p>
    <w:p w14:paraId="163573B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（一）竞争性磋商邀请；</w:t>
      </w:r>
    </w:p>
    <w:p w14:paraId="12EA0790">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（二）供应商须知；</w:t>
      </w:r>
    </w:p>
    <w:p w14:paraId="22391476">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（三）磋商项目技术、服务、商务及其他要求；</w:t>
      </w:r>
    </w:p>
    <w:p w14:paraId="12C9C867">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（四）资格审查；</w:t>
      </w:r>
    </w:p>
    <w:p w14:paraId="01862023">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（五）磋商过程中可实质性变动的内容；</w:t>
      </w:r>
    </w:p>
    <w:p w14:paraId="1062C3AA">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（六）磋商办法；</w:t>
      </w:r>
    </w:p>
    <w:p w14:paraId="446302E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（七）响应文件格式；</w:t>
      </w:r>
    </w:p>
    <w:p w14:paraId="61CD82DE">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（八）拟签订采购合同文本。</w:t>
      </w:r>
    </w:p>
    <w:p w14:paraId="40FAEED5">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二、供应商应认真阅读和充分理解磋商文件中所有的事项、格式条款和规范要求。供应商没有对磋商文件全面作出实质性响应所产生的风险由供应商承担。</w:t>
      </w:r>
    </w:p>
    <w:p w14:paraId="059FD592">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2.3.2磋商文件的澄清和修改</w:t>
      </w:r>
    </w:p>
    <w:p w14:paraId="716C6426">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一、在提交首次响应文件截止时间前，采购人或者代理机构可以对已发出的磋商文件进行必要的澄清或者修改。</w:t>
      </w:r>
    </w:p>
    <w:p w14:paraId="2E3EF8F9">
      <w:pPr>
        <w:pStyle w:val="13"/>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二、澄清或者修改的内容为磋商文件的组成部分，采购人或者代理机构将在陕西省政府采购网发布更正公告，供应商应及时关注本项目更正公告信息，按更正后公告要求进行响应。更正内容可能影响响应文件编制的，采购人或者代理机构将通过项目电子化交易系统发布更正后的磋商文件，供应商应依据更正后的磋商文件编制响应文件。若供应商未按前述要求进行响应的，自行承担不利后果。</w:t>
      </w:r>
    </w:p>
    <w:p w14:paraId="3A247E70">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23" w:name="_Toc6617"/>
      <w:r>
        <w:rPr>
          <w:rFonts w:hint="eastAsia" w:ascii="仿宋" w:hAnsi="仿宋" w:eastAsia="仿宋" w:cs="仿宋"/>
          <w:b/>
          <w:sz w:val="24"/>
          <w:szCs w:val="24"/>
        </w:rPr>
        <w:t>2.4响应文件</w:t>
      </w:r>
      <w:bookmarkEnd w:id="23"/>
    </w:p>
    <w:p w14:paraId="36A42034">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2.4.1响应文件的语言</w:t>
      </w:r>
    </w:p>
    <w:p w14:paraId="40493820">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供应商提交的响应文件以及供应商与磋商小组在磋商过程中的所有来往书面文件均须使用中文。响应文件中如附有外文资料，主要部分要对应翻译成中文并附在相关外文资料后面。未翻译的外文资料，磋商小组将其视为无效材料。</w:t>
      </w:r>
    </w:p>
    <w:p w14:paraId="17760052">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二、翻译的中文资料与外文资料如果出现差异和矛盾时，以中文为准。涉嫌提供虚假材料的按照相关法律法规处理。</w:t>
      </w:r>
    </w:p>
    <w:p w14:paraId="0CE3A614">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三、如因未翻译而造成对供应商的不利后果，由供应商承担。</w:t>
      </w:r>
    </w:p>
    <w:p w14:paraId="6CCCC6A7">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2.4.2计量单位</w:t>
      </w:r>
    </w:p>
    <w:p w14:paraId="2D1316A6">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除磋商文件中另有规定外，本项目均采用国家法定的计量单位。</w:t>
      </w:r>
    </w:p>
    <w:p w14:paraId="52712088">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2.4.3响应货币</w:t>
      </w:r>
    </w:p>
    <w:p w14:paraId="6B071F04">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本次项目均以人民币报价。</w:t>
      </w:r>
    </w:p>
    <w:p w14:paraId="7D9A3DAA">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2.4.4知识产权</w:t>
      </w:r>
    </w:p>
    <w:p w14:paraId="35B851BE">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w:t>
      </w:r>
    </w:p>
    <w:p w14:paraId="3EAAA6A8">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CFFA4A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三、如采用供应商所不拥有的知识产权，则在报价中必须包括合法使用该知识产权的相关费用。</w:t>
      </w:r>
    </w:p>
    <w:p w14:paraId="734EA88C">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四、构成本磋商文件的各组成部分，未经采购人书面同意，供应商不得擅自复印或用于非本磋商项目所需的其他目的。</w:t>
      </w:r>
    </w:p>
    <w:p w14:paraId="396219CA">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2.4.5响应文件的组成（实质性要求）</w:t>
      </w:r>
    </w:p>
    <w:p w14:paraId="0BF0B50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供应商应按照磋商文件的规定和要求编制响应文件。</w:t>
      </w:r>
    </w:p>
    <w:p w14:paraId="4C6D626F">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响应文件具体内容详见第七章。</w:t>
      </w:r>
    </w:p>
    <w:p w14:paraId="3EC4FA63">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2.4.6响应文件格式</w:t>
      </w:r>
    </w:p>
    <w:p w14:paraId="766AB558">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一、供应商应按照磋商文件第七章中提供的“响应文件格式”填写相关内容。</w:t>
      </w:r>
    </w:p>
    <w:p w14:paraId="5642C4BB">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二、对于没有格式要求的响应文件由供应商自行编写。</w:t>
      </w:r>
    </w:p>
    <w:p w14:paraId="4B486641">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2.4.7响应报价（实质性要求）</w:t>
      </w:r>
    </w:p>
    <w:p w14:paraId="0864C95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一、供应商的报价是供应商响应磋商项目要求的全部工作内容的价格体现，包括供应商完成本项目所需的一切费用。</w:t>
      </w:r>
    </w:p>
    <w:p w14:paraId="237814C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响应文件报价出现前后不一致的，按照磋商文件第六章磋商办法规定予以修正，修正后的报价经供应商通过项目电子化交易系统进行确认，并加盖供应商（法定名称）电子印章，供应商逾时确认的，其响应无效。</w:t>
      </w:r>
    </w:p>
    <w:p w14:paraId="66AEC6B9">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2.4.8响应有效期（实质性要求）</w:t>
      </w:r>
    </w:p>
    <w:p w14:paraId="46FABF0B">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响应有效期详见第二章“供应商须知前附表”，响应文件未明确响应有效期或者响应有效期小于“供应商须知前附表”中响应有效期要求的，其响应文件按无效处理。</w:t>
      </w:r>
    </w:p>
    <w:p w14:paraId="73D3062B">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2.4.9响应文件的制作、签章和加密</w:t>
      </w:r>
    </w:p>
    <w:p w14:paraId="5F53A9A2">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一、响应文件应当根据磋商文件进行编制，供应商应通过陕西省政府采购网-办事指南-CA及签章服务下载投标（响应）客户端，使用客户端编制响应文件。</w:t>
      </w:r>
    </w:p>
    <w:p w14:paraId="5D3292A1">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二、供应商应按照客户端操作要求，对应磋商文件的每项实质性要求，逐一如实响应；未如实响应或者响应内容不符合磋商文件对应项的要求的，其响应文件作无效处理。</w:t>
      </w:r>
    </w:p>
    <w:p w14:paraId="173BDB4C">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三、供应商完成响应文件编制后，应按照响应文件第一章明确的签章要求，使用互认的证书及签章对响应文件进行电子签章和加密。</w:t>
      </w:r>
    </w:p>
    <w:p w14:paraId="2BB7C5A2">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磋商文件澄清或者修改的内容可能影响响应文件编制的，代理机构将重新发布澄清或者修改后的磋商文件，供应商应重新获取澄清或者修改后的磋商文件，按照澄清或者修改后的磋商文件进行响应文件编制、签章和加密。</w:t>
      </w:r>
    </w:p>
    <w:p w14:paraId="6C4BB122">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2.4.10响应文件的提交（实质性要求）</w:t>
      </w:r>
    </w:p>
    <w:p w14:paraId="4911DA03">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一、供应商应当在提交首次响应文件截止时间前，通过项目电子化交易系统完成响应文件提交。</w:t>
      </w:r>
    </w:p>
    <w:p w14:paraId="322896DE">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二、在提交首次响应文件截止时间后，代理机构不再接受供应商提交响应文件。供应商应充分考虑影响响应文件提交的各种因素，确保在提交首次响应文件截止时间前完成提交。</w:t>
      </w:r>
    </w:p>
    <w:p w14:paraId="0F2FE779">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2.4.11响应文件的补充、修改（实质性要求）</w:t>
      </w:r>
    </w:p>
    <w:p w14:paraId="70B72096">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响应文件提交截止时间前，供应商可以补充、修改或者撤回已成功提交的响应文件；对响应文件进行补充、修改的，应当先行撤回已提交的响应文件，补充、修改后重新提交。</w:t>
      </w:r>
    </w:p>
    <w:p w14:paraId="15187EB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供应商响应文件撤回后，视为未提交过响应文件。</w:t>
      </w:r>
    </w:p>
    <w:p w14:paraId="3C513C06">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24" w:name="_Toc22546"/>
      <w:r>
        <w:rPr>
          <w:rFonts w:hint="eastAsia" w:ascii="仿宋" w:hAnsi="仿宋" w:eastAsia="仿宋" w:cs="仿宋"/>
          <w:b/>
          <w:sz w:val="24"/>
          <w:szCs w:val="24"/>
        </w:rPr>
        <w:t>2.5开启、资格审查、磋商和确定成交供应商</w:t>
      </w:r>
      <w:bookmarkEnd w:id="24"/>
    </w:p>
    <w:p w14:paraId="73394B64">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2.5.1磋商开启程序</w:t>
      </w:r>
    </w:p>
    <w:p w14:paraId="451F27E2">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一、本项目为竞争性磋商项目。网上开启的开始时间为响应文件提交截止时间。成功提交或解密电子响应文件的供应商不足3家的，不予开启，采购人或代理机构将终止采购活动。</w:t>
      </w:r>
    </w:p>
    <w:p w14:paraId="411DFE63">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二、磋商开启准备工作</w:t>
      </w:r>
    </w:p>
    <w:p w14:paraId="198DAA8F">
      <w:pPr>
        <w:pStyle w:val="13"/>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开标/开启前30分钟内，供应商需登录项目电子化交易系统-“供应商开标大厅”-进入开标选择对应项目包组操作签到，签到完成后等待代理机构开标/开启。</w:t>
      </w:r>
    </w:p>
    <w:p w14:paraId="47FF0EB5">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三、解密响应文件（实质性要求）</w:t>
      </w:r>
    </w:p>
    <w:p w14:paraId="27E8DAE0">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响应文件提交截止时间后，成功提交响应文件的供应商符合响应文件规定数量的，代理机构将启动响应文件解密程序，解密时间为30分钟；供应商应在规定的解密时间内，使用互认的证书及签章通过项目电子化交易系统进行响应文件解密。供应商未在规定的解密时间内完成解密的，按无效响应处理。</w:t>
      </w:r>
    </w:p>
    <w:p w14:paraId="09E87CB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开启过程中，各方主体均应遵守互联网有关规定，不得发表与采购活动无关的言论。供应商对开启过程和开启记录有疑义，以及认为采购人或代理机构相关工作人员有需要回避的情形的，及时向工作人员提出询问或者回避申请。采购人或代理机构对供应商提出的询问或者回避申请应当及时处理。</w:t>
      </w:r>
    </w:p>
    <w:p w14:paraId="0FB1286B">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2.5.2查询及使用信用记录</w:t>
      </w:r>
    </w:p>
    <w:p w14:paraId="6E4329A6">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开启结束后，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网页截图，拒绝列入失信被执行人名单、重大税收违法案件当事人名单、政府采购严重违法失信行为记录名单中的供应商参加本项目的采购活动。</w:t>
      </w:r>
    </w:p>
    <w:p w14:paraId="5B655E91">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两个以上的自然人、法人或者其他组织组成一个联合体，以一个供应商的身份共同参加政府采购活动的，将对所有联合体成员进行信用记录查询，联合体成员存在不良信用记录的，视同联合体存在不良信用记录。</w:t>
      </w:r>
    </w:p>
    <w:p w14:paraId="247D6359">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2.5.3资格审查</w:t>
      </w:r>
    </w:p>
    <w:p w14:paraId="60FFAFF4">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详见磋商文件第四章。</w:t>
      </w:r>
    </w:p>
    <w:p w14:paraId="30A47D7B">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2.5.4磋商</w:t>
      </w:r>
    </w:p>
    <w:p w14:paraId="324AE15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详见磋商文件第六章。</w:t>
      </w:r>
    </w:p>
    <w:p w14:paraId="355A23D7">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2.5.5成交通知书</w:t>
      </w:r>
    </w:p>
    <w:p w14:paraId="3CBB9D54">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一、采购人或者磋商小组确认成交供应商后，代理机构在陕西省政府采购网发布成交结果公告、通过项目电子化交易系统发出成交通知书，成交供应商通过项目电子化交易系统获取成交通知书。</w:t>
      </w:r>
    </w:p>
    <w:p w14:paraId="5CF886F2">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成交通知书是采购人和成交供应商签订政府采购合同的依据，是合同的有效组成部分。如果出现政府采购法律法规、规章制度规定的成交无效情形的，将以公告形式宣布发出的成交通知书无效，成交通知书将自动失效，并依法重新确定成交供应商或者重新开展采购活动。</w:t>
      </w:r>
    </w:p>
    <w:p w14:paraId="25505F87">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三、成交通知书对采购人和成交供应商均具有法律效力。</w:t>
      </w:r>
    </w:p>
    <w:p w14:paraId="2BAD2E6B">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25" w:name="_Toc18950"/>
      <w:r>
        <w:rPr>
          <w:rFonts w:hint="eastAsia" w:ascii="仿宋" w:hAnsi="仿宋" w:eastAsia="仿宋" w:cs="仿宋"/>
          <w:b/>
          <w:sz w:val="24"/>
          <w:szCs w:val="24"/>
        </w:rPr>
        <w:t>2.6签订及履行合同和验收</w:t>
      </w:r>
      <w:bookmarkEnd w:id="25"/>
    </w:p>
    <w:p w14:paraId="74D6A76A">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2.6.1签订合同</w:t>
      </w:r>
    </w:p>
    <w:p w14:paraId="16047BA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一、采购人应在成交通知书发出之日起二十五日内与成交供应商签订采购合同。</w:t>
      </w:r>
    </w:p>
    <w:p w14:paraId="20B6A3A6">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二、采购人和成交供应商签订的采购合同不得对磋商文件确定的事项以及成交供应商的响应文件作实质性修改。</w:t>
      </w:r>
    </w:p>
    <w:p w14:paraId="6A6726E3">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2.6.2合同分包和转包（实质性要求）</w:t>
      </w:r>
    </w:p>
    <w:p w14:paraId="2B81510F">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2.6.2.1合同分包</w:t>
      </w:r>
    </w:p>
    <w:p w14:paraId="3D797F61">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供应商根据磋商文件的规定和采购项目的实际情况，拟在成交后将成交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2D9358A7">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二、分包履行合同的部分应当为采购项目的非主体、非关键性工作，不属于成交供应商的主要合同义务。</w:t>
      </w:r>
    </w:p>
    <w:p w14:paraId="57F132F4">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三、采购合同实行分包履行的，成交供应商就采购项目和分包项目向采购人负责，分包供应商就分包项目承担责任。履行分包项目事项应当具备法定资质规定要求的，分包供应商应当具备相应资质。</w:t>
      </w:r>
    </w:p>
    <w:p w14:paraId="5ADE22C1">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中小企业依据《政府采购促进中小企业发展管理办法》（财库〔2020〕46号）规定的政策获取政府采购合同后，小型、微型企业不得将合同分包或转包给大型、中型企业，中型企业不得将合同分包或转包给大型企业。</w:t>
      </w:r>
    </w:p>
    <w:p w14:paraId="7C99C160">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采购包1：不允许合同分包。</w:t>
      </w:r>
    </w:p>
    <w:p w14:paraId="42875A38">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2.6.2.2合同转包</w:t>
      </w:r>
    </w:p>
    <w:p w14:paraId="255C844E">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4E1F20B0">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二、成交供应商转包的，视同拒绝履行政府采购合同，将依法追究法律责任。</w:t>
      </w:r>
    </w:p>
    <w:p w14:paraId="3B84EDC7">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2.6.3合同公告</w:t>
      </w:r>
    </w:p>
    <w:p w14:paraId="51C66FBF">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采购人应当自政府采购合同签订（双方当事人均已完成盖章）之日起2个工作日内，在陕西省政府采购网公告本项目采购合同，但合同中涉及国家秘密、商业秘密的内容除外。</w:t>
      </w:r>
    </w:p>
    <w:p w14:paraId="7EA2060C">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2.6.4合同备案</w:t>
      </w:r>
    </w:p>
    <w:p w14:paraId="3CE1C43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采购人自政府采购合同签订（双方当事人均已完成盖章）之日起7个工作日内，将本项目采购合同报同级财政部门备案。</w:t>
      </w:r>
    </w:p>
    <w:p w14:paraId="1FFF8618">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2.6.5采购人增加合同标的的权利</w:t>
      </w:r>
    </w:p>
    <w:p w14:paraId="7FC69314">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14:paraId="53DAD4BC">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2.6.6履行合同</w:t>
      </w:r>
    </w:p>
    <w:p w14:paraId="01F3D130">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一、合同一经签订，双方应严格履行合同规定的义务。</w:t>
      </w:r>
    </w:p>
    <w:p w14:paraId="3B023B34">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二、在合同履行过程中，如发生合同纠纷，合同双方应按照《中华人民共和国民法典》规定及合同条款约定进行处理。</w:t>
      </w:r>
    </w:p>
    <w:p w14:paraId="168DCB7C">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2.6.7履约验收方案</w:t>
      </w:r>
    </w:p>
    <w:p w14:paraId="5C3A9295">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22C056D2">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由采购人和成交人共同对项目整体进行验收。其内容包括确认服务的成果、数量以及服务质量是否达到采购人或行业标准： (1)所验服务的质量通过验收达不到磋商文件要求和响应文件承诺的，或在使用中发现采购人不能容忍的缺陷等，将视为验收不合格，成交人应无条件免费修改，直至满足采购人要求。 (2)若发现成交人有弄虚作假的,在投标阶段故意或随意夸大服务内容、服务质量，成交人应无条件退款，并赔偿采购人相应的损失，赔偿金额双方协商确定。 (3)验收标准：按磋商文件、响应文件及澄清函等技术指标进行验收。各项指标均应符合验收标准及要求。 (4)验收合格后，填写验收单，双方签字生效。 (5)验收依据：合同文本；响应文件及澄清函、磋商文件；国家和行业制定的相应的标准和规范；验收清单。</w:t>
      </w:r>
    </w:p>
    <w:p w14:paraId="0CD87038">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2.6.8资金支付</w:t>
      </w:r>
    </w:p>
    <w:p w14:paraId="5F18FBD1">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采购人按财政部门的相关规定及采购合同的约定进行支付。</w:t>
      </w:r>
    </w:p>
    <w:p w14:paraId="232EDDCB">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26" w:name="_Toc2114"/>
      <w:r>
        <w:rPr>
          <w:rFonts w:hint="eastAsia" w:ascii="仿宋" w:hAnsi="仿宋" w:eastAsia="仿宋" w:cs="仿宋"/>
          <w:b/>
          <w:sz w:val="24"/>
          <w:szCs w:val="24"/>
        </w:rPr>
        <w:t>2.7纪律要求</w:t>
      </w:r>
      <w:bookmarkEnd w:id="26"/>
    </w:p>
    <w:p w14:paraId="5BBABA91">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2.7.1磋商活动纪律要求</w:t>
      </w:r>
    </w:p>
    <w:p w14:paraId="57895407">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采购人、代理机构应保证磋商活动在严格保密的情况下进行，采购人、代理机构、供应商和磋商小组成员应当严格遵守政府采购法律法规规章制度和本项目磋商文件以及代理机构现场管理规定，接受采购人委派的监督人员的监督，任何单位和个人不得非法干预和影响磋商过程和结果。</w:t>
      </w:r>
    </w:p>
    <w:p w14:paraId="7AB3F48C">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对各供应商的商业秘密，磋商小组成员应予以保密，不得泄露给其他供应商。</w:t>
      </w:r>
    </w:p>
    <w:p w14:paraId="08D8507C">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2.7.2供应商不得具有的情形（实质性要求）</w:t>
      </w:r>
    </w:p>
    <w:p w14:paraId="7E520161">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供应商参加响应不得有下列情形：</w:t>
      </w:r>
    </w:p>
    <w:p w14:paraId="0ECA1CB4">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一、有下列情形之一的，视为供应商串通响应：</w:t>
      </w:r>
    </w:p>
    <w:p w14:paraId="6F61CAC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（一）不同供应商的响应文件由同一单位或者个人编制；</w:t>
      </w:r>
    </w:p>
    <w:p w14:paraId="5012A998">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（二）不同供应商委托同一单位或者个人办理磋商事宜；</w:t>
      </w:r>
    </w:p>
    <w:p w14:paraId="0263B7B6">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（三）不同供应商的响应文件载明的项目管理成员或者联系人员为同一人；</w:t>
      </w:r>
    </w:p>
    <w:p w14:paraId="05105D40">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（四）不同供应商的响应文件异常一致或者响应报价呈规律性差异；</w:t>
      </w:r>
    </w:p>
    <w:p w14:paraId="6F1AE93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（五）不同供应商的响应文件相互混装。</w:t>
      </w:r>
    </w:p>
    <w:p w14:paraId="1ADA448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二、提供虚假材料谋取成交；</w:t>
      </w:r>
    </w:p>
    <w:p w14:paraId="7D98811B">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三、采取不正当手段诋毁、排挤其他供应商；</w:t>
      </w:r>
    </w:p>
    <w:p w14:paraId="58B49686">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四、与采购人或代理机构、其他供应商恶意串通；</w:t>
      </w:r>
    </w:p>
    <w:p w14:paraId="2D76B09C">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五、向采购人或代理机构、磋商小组成员行贿或者提供其他不正当利益；</w:t>
      </w:r>
    </w:p>
    <w:p w14:paraId="579E867F">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六、在磋商过程中与采购人或代理机构进行协商磋商；</w:t>
      </w:r>
    </w:p>
    <w:p w14:paraId="39FF6A5A">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七、成交后无正当理由拒不与采购人签订政府采购合同；</w:t>
      </w:r>
    </w:p>
    <w:p w14:paraId="16D0D925">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八、未按照磋商文件确定的事项签订政府采购合同；</w:t>
      </w:r>
    </w:p>
    <w:p w14:paraId="6080C1AC">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九、将政府采购合同转包或者违规分包；</w:t>
      </w:r>
    </w:p>
    <w:p w14:paraId="14808CD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十、提供假冒伪劣产品；</w:t>
      </w:r>
    </w:p>
    <w:p w14:paraId="0B4D5EE8">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十一、擅自变更、中止或者终止政府采购合同；</w:t>
      </w:r>
    </w:p>
    <w:p w14:paraId="36E2825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十二、拒绝有关部门的监督检查或者向监督检查部门提供虚假情况；</w:t>
      </w:r>
    </w:p>
    <w:p w14:paraId="760D66EE">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十三、法律法规规定的其他禁止情形。</w:t>
      </w:r>
    </w:p>
    <w:p w14:paraId="03A67B20">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供应商有上述情形的，按照规定追究法律责任，具有前述一至十一条情形之一的，其响应文件无效，或取消被确认为成交供应商的资格或认定成交无效。</w:t>
      </w:r>
    </w:p>
    <w:p w14:paraId="50DF772E">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2.7.3采购人员及相关人员回避要求</w:t>
      </w:r>
    </w:p>
    <w:p w14:paraId="181DD2D7">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政府采购活动中，采购人员及相关人员与供应商有下列利害关系之一的，应当回避：</w:t>
      </w:r>
    </w:p>
    <w:p w14:paraId="5523EF3B">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（一）参加采购活动前3年内与供应商存在劳动关系；</w:t>
      </w:r>
    </w:p>
    <w:p w14:paraId="3C15D94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（二）参加采购活动前3年内担任供应商的董事、监事；</w:t>
      </w:r>
    </w:p>
    <w:p w14:paraId="7B40DD4F">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（三）参加采购活动前3年内是供应商的控股股东或者实际控制人；</w:t>
      </w:r>
    </w:p>
    <w:p w14:paraId="49275B53">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（四）与供应商的法定代表人或者负责人有夫妻、直系血亲、三代以内旁系血亲或者近姻亲关系；</w:t>
      </w:r>
    </w:p>
    <w:p w14:paraId="10F7DD74">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（五）与供应商有其他可能影响政府采购活动公平、公正进行的关系。</w:t>
      </w:r>
    </w:p>
    <w:p w14:paraId="5F2CD6C3">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供应商认为采购人员及相关人员与其他供应商有利害关系的，可以向代理机构书面提出回避申请，并说明理由。代理机构将及时询问被申请回避人员，有利害关系的被申请回避人员应当回避。</w:t>
      </w:r>
    </w:p>
    <w:p w14:paraId="6DC59BFB">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27" w:name="_Toc889"/>
      <w:r>
        <w:rPr>
          <w:rFonts w:hint="eastAsia" w:ascii="仿宋" w:hAnsi="仿宋" w:eastAsia="仿宋" w:cs="仿宋"/>
          <w:b/>
          <w:sz w:val="24"/>
          <w:szCs w:val="24"/>
        </w:rPr>
        <w:t>2.8询问、质疑和投诉</w:t>
      </w:r>
      <w:bookmarkEnd w:id="27"/>
    </w:p>
    <w:p w14:paraId="1B713F33">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一、询问、质疑、投诉的接收和处理严格按照《中华人民共和国政府采购法》《中华人民共和国政府采购法实施条例》《政府采购质疑和投诉办法》等规定办理。</w:t>
      </w:r>
    </w:p>
    <w:p w14:paraId="758DE42C">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二、供应商询问、质疑的答复主体：</w:t>
      </w:r>
    </w:p>
    <w:p w14:paraId="25803D2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根据委托代理协议约定，供应商对采购文件中采购需求的询问、质疑由 中招(陕西)项目管理有限公司 负责答复；供应商对除采购需求外的采购文件的询问、质疑由中招(陕西)项目管理有限公司 负责答复；供应商对采购过程、采购结果的询问、质疑由 中招(陕西)项目管理有限公司 负责答复。</w:t>
      </w:r>
    </w:p>
    <w:p w14:paraId="40477E0F">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三、供应商提出的询问，应当明确询问事项，如以书面形式提出的，应由供应商签字并加盖公章。</w:t>
      </w:r>
    </w:p>
    <w:p w14:paraId="39445796">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为提高采购效率，降低社会成本，鼓励询问主体对于不损害国家及社会利益或自身合法权益的问题或情形采用询问方式处理解决（包含但不限于文字错误、标点符号、不影响响应文件的编制的情形）。</w:t>
      </w:r>
    </w:p>
    <w:p w14:paraId="08DC6B3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供应商认为磋商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68A2CE1C">
      <w:pPr>
        <w:pStyle w:val="13"/>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（一）对可以质疑的采购文件提出质疑的，为收到采购文件之日或者采购文件公告期限届满之日；</w:t>
      </w:r>
    </w:p>
    <w:p w14:paraId="29FC6CBD">
      <w:pPr>
        <w:pStyle w:val="13"/>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（二）对采购过程提出质疑的，为各采购程序环节结束之日；</w:t>
      </w:r>
    </w:p>
    <w:p w14:paraId="000B5FB4">
      <w:pPr>
        <w:pStyle w:val="13"/>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（三）对中标或者成交结果提出质疑的，为中标或者成交结果公告期限届满之日。</w:t>
      </w:r>
    </w:p>
    <w:p w14:paraId="3B339C1D">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五、本项目不接受在线提交质疑，供应商通过书面形式线下向采购人或代理机构提交质疑资料。</w:t>
      </w:r>
    </w:p>
    <w:p w14:paraId="66D582A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六、供应商提出质疑时应当准备的资料：</w:t>
      </w:r>
    </w:p>
    <w:p w14:paraId="0A54BA5E">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（一）质疑函正本1份（政府采购供应商质疑函范本详见附件）；</w:t>
      </w:r>
    </w:p>
    <w:p w14:paraId="33D6453F">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（二）法定代表人或主要负责人授权委托书1份（委托代理人办理质疑事宜的需提供）；</w:t>
      </w:r>
    </w:p>
    <w:p w14:paraId="3878D2F3">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（三）法定代表人或主要负责人身份证复印件1份；</w:t>
      </w:r>
    </w:p>
    <w:p w14:paraId="4B6198DE">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（四）委托代理人身份证复印件1份（委托代理人办理质疑事宜的需提供）；</w:t>
      </w:r>
    </w:p>
    <w:p w14:paraId="21BB18DB">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（五）针对质疑事项必要的证明材料（针对磋商文件提出的质疑，需提交从项目电子化交易系统获取的磋商文件回执单）。</w:t>
      </w:r>
    </w:p>
    <w:p w14:paraId="5D747E47">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接收质疑函方式：书面形式。</w:t>
      </w:r>
    </w:p>
    <w:p w14:paraId="4D682572">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答复主体：代理机构</w:t>
      </w:r>
    </w:p>
    <w:p w14:paraId="55B62AEF">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联系人：李工</w:t>
      </w:r>
    </w:p>
    <w:p w14:paraId="72798E0E">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联系电话：029-68656808</w:t>
      </w:r>
    </w:p>
    <w:p w14:paraId="73D530B6">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地址：陕西省西安市未央区北二环华帝金座A座903室</w:t>
      </w:r>
    </w:p>
    <w:p w14:paraId="4DF72F6B">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邮编：710000</w:t>
      </w:r>
    </w:p>
    <w:p w14:paraId="66ADC05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注：根据《中华人民共和国政府采购法》的规定，供应商质疑不得超出磋商文件、采购过程、采购结果的范围。</w:t>
      </w:r>
    </w:p>
    <w:p w14:paraId="73F5C0B3">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七、供应商对采购人或代理机构的质疑答复不满意，或者采购人或代理机构未在规定期限内作出答复的，供应商可以在答复期满后15个工作日内向同级财政部门提起投诉。</w:t>
      </w:r>
    </w:p>
    <w:p w14:paraId="3557136E">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投诉受理单位：本采购项目同级财政部门（政府采购供应商投诉书范本详见附件）。</w:t>
      </w:r>
    </w:p>
    <w:p w14:paraId="3FD8FE41">
      <w:pPr>
        <w:pStyle w:val="13"/>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br w:type="textWrapping"/>
      </w:r>
      <w:r>
        <w:rPr>
          <w:rFonts w:hint="eastAsia" w:ascii="仿宋" w:hAnsi="仿宋" w:eastAsia="仿宋" w:cs="仿宋"/>
        </w:rPr>
        <w:br w:type="page"/>
      </w:r>
    </w:p>
    <w:p w14:paraId="7EA294F5">
      <w:pPr>
        <w:pStyle w:val="13"/>
        <w:jc w:val="center"/>
        <w:outlineLvl w:val="1"/>
        <w:rPr>
          <w:rFonts w:hint="eastAsia" w:ascii="仿宋" w:hAnsi="仿宋" w:eastAsia="仿宋" w:cs="仿宋"/>
        </w:rPr>
      </w:pPr>
      <w:bookmarkStart w:id="28" w:name="_Toc22911"/>
      <w:r>
        <w:rPr>
          <w:rFonts w:hint="eastAsia" w:ascii="仿宋" w:hAnsi="仿宋" w:eastAsia="仿宋" w:cs="仿宋"/>
          <w:b/>
          <w:sz w:val="36"/>
        </w:rPr>
        <w:t>第三章 磋商项目技术、服务、商务及其他要求</w:t>
      </w:r>
      <w:bookmarkEnd w:id="28"/>
    </w:p>
    <w:p w14:paraId="430E40D5">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rPr>
        <w:t xml:space="preserve"> </w:t>
      </w:r>
      <w:r>
        <w:rPr>
          <w:rFonts w:hint="eastAsia" w:ascii="仿宋" w:hAnsi="仿宋" w:eastAsia="仿宋" w:cs="仿宋"/>
          <w:sz w:val="24"/>
          <w:szCs w:val="24"/>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5B232C4">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29" w:name="_Toc1047"/>
      <w:r>
        <w:rPr>
          <w:rFonts w:hint="eastAsia" w:ascii="仿宋" w:hAnsi="仿宋" w:eastAsia="仿宋" w:cs="仿宋"/>
          <w:b/>
          <w:sz w:val="24"/>
          <w:szCs w:val="24"/>
        </w:rPr>
        <w:t>3.1采购项目概况</w:t>
      </w:r>
      <w:bookmarkEnd w:id="29"/>
    </w:p>
    <w:p w14:paraId="3270AD8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2026年全市中小企业主要负责人和安全管理人员培训项目拟依托干部教育培训机构完成，本项目坚持安全第一、预防为主，坚持分类、全面覆盖，通过持续强化重点行业领域中小企业主要负责人和安全生产管理人员安全生产及工伤预防培训，督促企业牢固树立安全发展理念，全面提高从业人员工伤预防意识和安全防范技能，不断提升企业本质安全水平，有效防范遏制各类生产安全事故发生。参训学员全部封闭式住宿管理，每期培训时间为5天，采取专题讲座、案例警示、分组讨论等面授方式组织培训，培训人数约660人。</w:t>
      </w:r>
    </w:p>
    <w:p w14:paraId="551C8F80">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30" w:name="_Toc13127"/>
      <w:r>
        <w:rPr>
          <w:rFonts w:hint="eastAsia" w:ascii="仿宋" w:hAnsi="仿宋" w:eastAsia="仿宋" w:cs="仿宋"/>
          <w:b/>
          <w:sz w:val="24"/>
          <w:szCs w:val="24"/>
        </w:rPr>
        <w:t>3.2服务内容及服务要求</w:t>
      </w:r>
      <w:bookmarkEnd w:id="30"/>
    </w:p>
    <w:p w14:paraId="7D5CF2F9">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3.2.1服务内容</w:t>
      </w:r>
    </w:p>
    <w:p w14:paraId="254E039C">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04988374">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采购包预算金额（元）: 1,422,600.00</w:t>
      </w:r>
    </w:p>
    <w:p w14:paraId="11FDFF2B">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采购包最高限价（元）: 1,422,600.00</w:t>
      </w:r>
    </w:p>
    <w:p w14:paraId="052A3FA4">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供应商报价不允许超过标的金额</w:t>
      </w:r>
    </w:p>
    <w:p w14:paraId="7F872B96">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（招单价的）供应商报价不允许超过标的单价</w:t>
      </w:r>
    </w:p>
    <w:tbl>
      <w:tblPr>
        <w:tblStyle w:val="10"/>
        <w:tblW w:w="9325" w:type="dxa"/>
        <w:tblInd w:w="-40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49"/>
        <w:gridCol w:w="1324"/>
        <w:gridCol w:w="771"/>
        <w:gridCol w:w="986"/>
        <w:gridCol w:w="703"/>
        <w:gridCol w:w="797"/>
        <w:gridCol w:w="798"/>
        <w:gridCol w:w="743"/>
        <w:gridCol w:w="811"/>
        <w:gridCol w:w="851"/>
        <w:gridCol w:w="892"/>
      </w:tblGrid>
      <w:tr w14:paraId="53D803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vAlign w:val="center"/>
          </w:tcPr>
          <w:p w14:paraId="5B582FDC">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324" w:type="dxa"/>
            <w:vAlign w:val="center"/>
          </w:tcPr>
          <w:p w14:paraId="0B7CAF9F">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标的</w:t>
            </w:r>
          </w:p>
          <w:p w14:paraId="0C931537">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名称</w:t>
            </w:r>
          </w:p>
        </w:tc>
        <w:tc>
          <w:tcPr>
            <w:tcW w:w="771" w:type="dxa"/>
            <w:vAlign w:val="center"/>
          </w:tcPr>
          <w:p w14:paraId="79B36C5D">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tc>
        <w:tc>
          <w:tcPr>
            <w:tcW w:w="986" w:type="dxa"/>
            <w:vAlign w:val="center"/>
          </w:tcPr>
          <w:p w14:paraId="097C02D5">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标的金额 （元）</w:t>
            </w:r>
          </w:p>
        </w:tc>
        <w:tc>
          <w:tcPr>
            <w:tcW w:w="703" w:type="dxa"/>
            <w:vAlign w:val="center"/>
          </w:tcPr>
          <w:p w14:paraId="3A5A70D3">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计量单位</w:t>
            </w:r>
          </w:p>
        </w:tc>
        <w:tc>
          <w:tcPr>
            <w:tcW w:w="797" w:type="dxa"/>
            <w:vAlign w:val="center"/>
          </w:tcPr>
          <w:p w14:paraId="56C56567">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所属行业</w:t>
            </w:r>
          </w:p>
        </w:tc>
        <w:tc>
          <w:tcPr>
            <w:tcW w:w="798" w:type="dxa"/>
            <w:vAlign w:val="center"/>
          </w:tcPr>
          <w:p w14:paraId="3A524AF3">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是否核心产品</w:t>
            </w:r>
          </w:p>
        </w:tc>
        <w:tc>
          <w:tcPr>
            <w:tcW w:w="743" w:type="dxa"/>
            <w:vAlign w:val="center"/>
          </w:tcPr>
          <w:p w14:paraId="47EED0C9">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是否允许进口产品</w:t>
            </w:r>
          </w:p>
        </w:tc>
        <w:tc>
          <w:tcPr>
            <w:tcW w:w="811" w:type="dxa"/>
            <w:vAlign w:val="center"/>
          </w:tcPr>
          <w:p w14:paraId="72A48698">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是否属于节能产品</w:t>
            </w:r>
          </w:p>
        </w:tc>
        <w:tc>
          <w:tcPr>
            <w:tcW w:w="851" w:type="dxa"/>
            <w:vAlign w:val="center"/>
          </w:tcPr>
          <w:p w14:paraId="325D1253">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是否属于环境标志产品</w:t>
            </w:r>
          </w:p>
        </w:tc>
        <w:tc>
          <w:tcPr>
            <w:tcW w:w="892" w:type="dxa"/>
            <w:vAlign w:val="center"/>
          </w:tcPr>
          <w:p w14:paraId="0C259DF2">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是否实施本国产品政策</w:t>
            </w:r>
          </w:p>
        </w:tc>
      </w:tr>
      <w:tr w14:paraId="38093D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vAlign w:val="center"/>
          </w:tcPr>
          <w:p w14:paraId="1D18E38D">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324" w:type="dxa"/>
            <w:vAlign w:val="center"/>
          </w:tcPr>
          <w:p w14:paraId="579463A8">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2026年全市中小企业主要负责人和安全管理人员培训项目</w:t>
            </w:r>
          </w:p>
        </w:tc>
        <w:tc>
          <w:tcPr>
            <w:tcW w:w="771" w:type="dxa"/>
            <w:vAlign w:val="center"/>
          </w:tcPr>
          <w:p w14:paraId="6EFF889D">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1.00</w:t>
            </w:r>
          </w:p>
        </w:tc>
        <w:tc>
          <w:tcPr>
            <w:tcW w:w="986" w:type="dxa"/>
            <w:vAlign w:val="center"/>
          </w:tcPr>
          <w:p w14:paraId="1FF0B8B4">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1,422,600.00</w:t>
            </w:r>
          </w:p>
        </w:tc>
        <w:tc>
          <w:tcPr>
            <w:tcW w:w="703" w:type="dxa"/>
            <w:vAlign w:val="center"/>
          </w:tcPr>
          <w:p w14:paraId="5DF598E9">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项</w:t>
            </w:r>
          </w:p>
        </w:tc>
        <w:tc>
          <w:tcPr>
            <w:tcW w:w="797" w:type="dxa"/>
            <w:vAlign w:val="center"/>
          </w:tcPr>
          <w:p w14:paraId="18A5BBA7">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其他未列明行业</w:t>
            </w:r>
          </w:p>
        </w:tc>
        <w:tc>
          <w:tcPr>
            <w:tcW w:w="798" w:type="dxa"/>
            <w:vAlign w:val="center"/>
          </w:tcPr>
          <w:p w14:paraId="2D8A2396">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743" w:type="dxa"/>
            <w:vAlign w:val="center"/>
          </w:tcPr>
          <w:p w14:paraId="01C7184D">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811" w:type="dxa"/>
            <w:vAlign w:val="center"/>
          </w:tcPr>
          <w:p w14:paraId="721CFF26">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851" w:type="dxa"/>
            <w:vAlign w:val="center"/>
          </w:tcPr>
          <w:p w14:paraId="377AB3B2">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否</w:t>
            </w:r>
          </w:p>
        </w:tc>
        <w:tc>
          <w:tcPr>
            <w:tcW w:w="892" w:type="dxa"/>
            <w:vAlign w:val="center"/>
          </w:tcPr>
          <w:p w14:paraId="3A6CBC0D">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否</w:t>
            </w:r>
          </w:p>
        </w:tc>
      </w:tr>
    </w:tbl>
    <w:p w14:paraId="63D936A8">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31" w:name="_Toc14850"/>
      <w:r>
        <w:rPr>
          <w:rFonts w:hint="eastAsia" w:ascii="仿宋" w:hAnsi="仿宋" w:eastAsia="仿宋" w:cs="仿宋"/>
          <w:b/>
          <w:sz w:val="24"/>
          <w:szCs w:val="24"/>
        </w:rPr>
        <w:t>3.2.2服务要求</w:t>
      </w:r>
      <w:bookmarkEnd w:id="31"/>
    </w:p>
    <w:p w14:paraId="584BF3CB">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4D08C97A">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标的名称：2026年全市中小企业主要负责人和安全管理人员培训项目</w:t>
      </w:r>
    </w:p>
    <w:tbl>
      <w:tblPr>
        <w:tblStyle w:val="10"/>
        <w:tblW w:w="9311" w:type="dxa"/>
        <w:tblInd w:w="-40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8"/>
        <w:gridCol w:w="1175"/>
        <w:gridCol w:w="109"/>
        <w:gridCol w:w="7229"/>
      </w:tblGrid>
      <w:tr w14:paraId="64E701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2D33B887">
            <w:pPr>
              <w:pStyle w:val="1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284" w:type="dxa"/>
            <w:gridSpan w:val="2"/>
            <w:vAlign w:val="center"/>
          </w:tcPr>
          <w:p w14:paraId="105928EA">
            <w:pPr>
              <w:pStyle w:val="1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参数性质</w:t>
            </w:r>
          </w:p>
        </w:tc>
        <w:tc>
          <w:tcPr>
            <w:tcW w:w="7229" w:type="dxa"/>
            <w:vAlign w:val="center"/>
          </w:tcPr>
          <w:p w14:paraId="4A547D4A">
            <w:pPr>
              <w:pStyle w:val="1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技术参数与性能指标</w:t>
            </w:r>
          </w:p>
        </w:tc>
      </w:tr>
      <w:tr w14:paraId="53F85A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7F2238FF">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175" w:type="dxa"/>
            <w:vAlign w:val="center"/>
          </w:tcPr>
          <w:p w14:paraId="4DEBBBC6">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7338" w:type="dxa"/>
            <w:gridSpan w:val="2"/>
            <w:vAlign w:val="center"/>
          </w:tcPr>
          <w:p w14:paraId="2E1131E7">
            <w:pPr>
              <w:pStyle w:val="13"/>
              <w:keepNext w:val="0"/>
              <w:keepLines w:val="0"/>
              <w:pageBreakBefore w:val="0"/>
              <w:widowControl/>
              <w:kinsoku/>
              <w:wordWrap/>
              <w:overflowPunct/>
              <w:topLinePunct w:val="0"/>
              <w:autoSpaceDE/>
              <w:autoSpaceDN/>
              <w:bidi w:val="0"/>
              <w:adjustRightInd/>
              <w:snapToGrid/>
              <w:spacing w:line="400" w:lineRule="exact"/>
              <w:ind w:firstLine="792"/>
              <w:jc w:val="both"/>
              <w:textAlignment w:val="auto"/>
              <w:rPr>
                <w:rFonts w:hint="eastAsia" w:ascii="仿宋" w:hAnsi="仿宋" w:eastAsia="仿宋" w:cs="仿宋"/>
                <w:sz w:val="24"/>
                <w:szCs w:val="24"/>
              </w:rPr>
            </w:pPr>
            <w:r>
              <w:rPr>
                <w:rFonts w:hint="eastAsia" w:ascii="仿宋" w:hAnsi="仿宋" w:eastAsia="仿宋" w:cs="仿宋"/>
                <w:sz w:val="24"/>
                <w:szCs w:val="24"/>
              </w:rPr>
              <w:t>一、培训服务概况</w:t>
            </w:r>
          </w:p>
          <w:p w14:paraId="1BCC09CD">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服务内容：依托干部教育培训机构，通过持续强化重点行业领域中小企业主要负责人和安全生产管理人员安全生产及工伤预防培训，督促企业牢固树立安全发展理念，全面提高从业人员工伤预防意识和安全防范技能，不断提升企业本质安全水平，有效防范遏制各类生产安全事故发生。参训学员全部封闭式住宿管理，每期培训时间为5天，采取专题讲座、案例警示、分组讨论等面授方式组织培训，培训人数约660人。此次培训对象为我市危险化学品和工贸行业领域中小企业主要负责人和安全管理人员。其中危险化学品领域300人，工贸领域360人，共计660人。</w:t>
            </w:r>
          </w:p>
          <w:p w14:paraId="1569BAFC">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1.专家：每期邀请正高级技术职称专业人员4名、副高级技术职称专业人员4名（提供职称证书复印件、聘书（协议书）复印件等相关证明资料），共10期，每期5天；</w:t>
            </w:r>
          </w:p>
          <w:p w14:paraId="63606079">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2.学员：每期参加培训学员约66人，共10期，共计660人;</w:t>
            </w:r>
          </w:p>
          <w:p w14:paraId="55055463">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3.住宿：两人标间，10期共计666人（含工作人员6名），每期5天；住宿场地要配备必要的消防设备，满足住宿及教学的消防要求；</w:t>
            </w:r>
          </w:p>
          <w:p w14:paraId="364B43B9">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4.伙食：包括早、中、晚三餐，共计666人（含工作人员6名）；餐饮从业人员须有食品从业人员健康证；</w:t>
            </w:r>
          </w:p>
          <w:p w14:paraId="7CAC8686">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5.资料：660份（共计660人，每人1份）。</w:t>
            </w:r>
          </w:p>
          <w:p w14:paraId="680ECC6E">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备注：包含师资费、住宿费、伙食费，资料、场地费用等。</w:t>
            </w:r>
          </w:p>
        </w:tc>
      </w:tr>
      <w:tr w14:paraId="3F8E99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41403B2E">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175" w:type="dxa"/>
            <w:vAlign w:val="center"/>
          </w:tcPr>
          <w:p w14:paraId="66AB370C">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7338" w:type="dxa"/>
            <w:gridSpan w:val="2"/>
            <w:vAlign w:val="center"/>
          </w:tcPr>
          <w:p w14:paraId="647F4961">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二、培训要求</w:t>
            </w:r>
          </w:p>
          <w:p w14:paraId="0C218876">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1.对培训场地设施的要求</w:t>
            </w:r>
          </w:p>
          <w:p w14:paraId="29F27547">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供应商必须有能够满足本项目采购需求的独立培训场所，场所应当拥有足够的空间和设施，以确保参训人员教育培训有序开展。其中，为了确保能够提供给学员们一个良好的学习环境，授课教室作为学习和交流的核心场所，必须具备能够同时容纳一期参训人员的条件。另外，还要配备相应的分组研讨教室。</w:t>
            </w:r>
          </w:p>
          <w:p w14:paraId="64EEC857">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2.对授课老师的要求</w:t>
            </w:r>
          </w:p>
          <w:p w14:paraId="7C7C28CC">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授课老师必须具备高尚的职业道德修养，以身作则，为人师表；必须拥有扎实的专业知识基础，精通所教授的专业领域，能够将复杂的专业知识讲解得浅显易懂；必须具备丰富的实际工作经验，能够将理论与实践相结合，以增强培训的针对性和实效性。</w:t>
            </w:r>
          </w:p>
          <w:p w14:paraId="529651DB">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供应商需严格按照培训项目主办方要求的师资力量来聘请授课老师。应积极主动地邀请高校的专家教授以及行业内的业务骨干来参与授课。</w:t>
            </w:r>
          </w:p>
          <w:p w14:paraId="453F2594">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3.对课程设置的要求</w:t>
            </w:r>
          </w:p>
          <w:p w14:paraId="60017F3A">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课程的实施必须严格遵守培训项目所规定的学时要求，以确保执行过程的严谨性，课程内容的设计应注重理论知识与实际操作的紧密结合，避免理论与实践脱节。要通过精心设计的案例分析、分组研讨等多种教学方式，有效地提高参训人员的实践能力和解决实际问题的能力。每天授课4-8学时，每学时不少于45分钟。</w:t>
            </w:r>
          </w:p>
          <w:p w14:paraId="1CCFAF5D">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4.对使用教材的要求</w:t>
            </w:r>
          </w:p>
          <w:p w14:paraId="660DFF59">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教材必须紧密结合参训人员的具体情况，制定出具有时效性、针对性的学习内容。教材需要涵盖广泛的理论知识，还应当深入分析参训人员在实际工作过程中可能遇到的各种问题，并提供相应的解决方案。此外，教材应包含对当前政策的深入解读，为参训人员提供清晰的业务指导，以及丰富的实践案例分析，从而帮助他们全面提升自身的综合素质和业务能力。</w:t>
            </w:r>
          </w:p>
        </w:tc>
      </w:tr>
      <w:tr w14:paraId="04BC17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193DA450">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175" w:type="dxa"/>
            <w:vAlign w:val="center"/>
          </w:tcPr>
          <w:p w14:paraId="5217F9DD">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7338" w:type="dxa"/>
            <w:gridSpan w:val="2"/>
            <w:vAlign w:val="center"/>
          </w:tcPr>
          <w:p w14:paraId="05D4DD3D">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三、后勤保障要求</w:t>
            </w:r>
          </w:p>
          <w:p w14:paraId="09C361C1">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1.负责培训期间的全程保障。包括：组织培训前报到接待，桌签、横幅等培训会场保障；会议资料保障（学员证、学员手册制作、学习文具、学习资料等）；授课设备保障；培训结束后，问卷调查、培训证书发放等工作。其中，会场要求：要拥有一个与承接项目相适应的培训场地，能容纳项目中的最大培训班人数（≥70人）；培训场地要配备满足需要的音响设备，多媒体演示设备（笔记本电脑、投影仪、LED演示屏、话筒等）。</w:t>
            </w:r>
          </w:p>
          <w:p w14:paraId="0E757299">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2.负责保障培训期间的全天食宿（含报到当天简餐）。</w:t>
            </w:r>
          </w:p>
          <w:p w14:paraId="48B8945C">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住宿要求：住宿客房数量要能至少满足一次性入住一期参训人员的接待能力，房间宽敞、明亮，房内有独立卫浴且供应热水，电视、电话、空调等设备正常运行，包括相关客房服务。</w:t>
            </w:r>
          </w:p>
          <w:p w14:paraId="0D0BE0BF">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餐厅要求：（1）餐厅须具备食品经营许可证（或相关部门备案），或由供应商出具卫生承诺书（承诺餐厅卫生须符合国家卫生相关要求），须在响应文件中附食品经营许可证复印件或卫生承诺书，如不提供则将视其响应无效。</w:t>
            </w:r>
          </w:p>
          <w:p w14:paraId="6F9067E8">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（2）拥有至少能接待一期参训人员同时就餐的供餐环境。</w:t>
            </w:r>
          </w:p>
          <w:p w14:paraId="73D380CD">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（3）在提供餐饮服务时，就餐方式为自助餐，菜品不低于10菜（6荤、4素）、1汤、1点心。须合理配置菜单，并将用餐安排、菜单提前与采购人沟通、接受采购人协商调整。</w:t>
            </w:r>
          </w:p>
        </w:tc>
      </w:tr>
      <w:tr w14:paraId="6388F3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8" w:type="dxa"/>
            <w:vAlign w:val="center"/>
          </w:tcPr>
          <w:p w14:paraId="7F1EC229">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175" w:type="dxa"/>
            <w:vAlign w:val="center"/>
          </w:tcPr>
          <w:p w14:paraId="6B704289">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7338" w:type="dxa"/>
            <w:gridSpan w:val="2"/>
            <w:vAlign w:val="center"/>
          </w:tcPr>
          <w:p w14:paraId="2AD64D4A">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四、其他服务要求</w:t>
            </w:r>
          </w:p>
          <w:p w14:paraId="3AEFCBFB">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1.供应商无正当理由不得拒绝培训服务；不得以任何理由向学员收取费用；不得减少服务项目降低服务质量；不得提供虚假发票；不得不按规定提供发票、费用原始明细单据、电子结算单等凭证；不得不配合、甚至干扰阻挠采购人正常核查工作。</w:t>
            </w:r>
          </w:p>
          <w:p w14:paraId="3E675BC1">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2.供应商提供的场地以及服务质量均符合培训要求，能够圆满完成各项培训工作任务；各项培训活动的组织管理规范，保障到位。</w:t>
            </w:r>
          </w:p>
          <w:p w14:paraId="02C8E86E">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3.供应商应保证采购人获得优先服务的权利，积极主动与采购人配合，按磋商文件承诺的标准和质量为采购人提供服务；并在不超过承诺的期限内完成培训工作。</w:t>
            </w:r>
          </w:p>
          <w:p w14:paraId="07BF9D3A">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4.供应商应设有固定联系电话及联系人，及时响应采购人的各项要求。</w:t>
            </w:r>
          </w:p>
          <w:p w14:paraId="20DE66C5">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5.供应商在接待住宿人员时，必须做到实名登记；在提供培训服务时，须如实向采购人提供有关信息，具体包括：会场名称、培训人数、培训时间、配套服务等。</w:t>
            </w:r>
          </w:p>
          <w:p w14:paraId="1E116315">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6.供应商要接受监督检查，对采购人提出的有关意见及时进行整改。</w:t>
            </w:r>
          </w:p>
          <w:p w14:paraId="309A7E76">
            <w:pPr>
              <w:pStyle w:val="13"/>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7.供应商要做好培训活动的安全工作，对特殊事件及食品、消防、交通、安全等突发状况，制定相应的保障措施和应急预案，确保人身、财产安全。</w:t>
            </w:r>
          </w:p>
        </w:tc>
      </w:tr>
    </w:tbl>
    <w:p w14:paraId="53C9FC83">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32" w:name="_Toc17757"/>
      <w:r>
        <w:rPr>
          <w:rFonts w:hint="eastAsia" w:ascii="仿宋" w:hAnsi="仿宋" w:eastAsia="仿宋" w:cs="仿宋"/>
          <w:b/>
          <w:sz w:val="24"/>
          <w:szCs w:val="24"/>
        </w:rPr>
        <w:t>3.2.3人员配置要求</w:t>
      </w:r>
      <w:bookmarkEnd w:id="32"/>
    </w:p>
    <w:p w14:paraId="77364CE1">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41BE3C2B">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根据项目需求配置</w:t>
      </w:r>
    </w:p>
    <w:p w14:paraId="494D8642">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33" w:name="_Toc28507"/>
      <w:r>
        <w:rPr>
          <w:rFonts w:hint="eastAsia" w:ascii="仿宋" w:hAnsi="仿宋" w:eastAsia="仿宋" w:cs="仿宋"/>
          <w:b/>
          <w:sz w:val="24"/>
          <w:szCs w:val="24"/>
        </w:rPr>
        <w:t>3.2.4设施设备要求</w:t>
      </w:r>
      <w:bookmarkEnd w:id="33"/>
    </w:p>
    <w:p w14:paraId="741689F0">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6F2AC8DA">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根据项目需求配置</w:t>
      </w:r>
    </w:p>
    <w:p w14:paraId="12B266DC">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34" w:name="_Toc19746"/>
      <w:r>
        <w:rPr>
          <w:rFonts w:hint="eastAsia" w:ascii="仿宋" w:hAnsi="仿宋" w:eastAsia="仿宋" w:cs="仿宋"/>
          <w:b/>
          <w:sz w:val="24"/>
          <w:szCs w:val="24"/>
        </w:rPr>
        <w:t>3.2.5其他要求</w:t>
      </w:r>
      <w:bookmarkEnd w:id="34"/>
    </w:p>
    <w:p w14:paraId="31FC8AE1">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0D43FB9B">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w:t>
      </w:r>
    </w:p>
    <w:p w14:paraId="4CCDF483">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35" w:name="_Toc8375"/>
      <w:r>
        <w:rPr>
          <w:rFonts w:hint="eastAsia" w:ascii="仿宋" w:hAnsi="仿宋" w:eastAsia="仿宋" w:cs="仿宋"/>
          <w:b/>
          <w:sz w:val="24"/>
          <w:szCs w:val="24"/>
        </w:rPr>
        <w:t>3.3商务要求</w:t>
      </w:r>
      <w:bookmarkEnd w:id="35"/>
    </w:p>
    <w:p w14:paraId="604E8886">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3.3.1服务期限</w:t>
      </w:r>
    </w:p>
    <w:p w14:paraId="6929AE52">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1E4E8D56">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自合同签订之日起180日</w:t>
      </w:r>
    </w:p>
    <w:p w14:paraId="023C5450">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3.3.2服务地点</w:t>
      </w:r>
    </w:p>
    <w:p w14:paraId="63462A2F">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7FEEDD84">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西安市内（采购人指定地点）</w:t>
      </w:r>
    </w:p>
    <w:p w14:paraId="146CE936">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3.3.3考核（验收）标准和方法</w:t>
      </w:r>
    </w:p>
    <w:p w14:paraId="35ADAF9D">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0508C2B0">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由采购人和成交人共同对项目整体进行验收。其内容包括确认服务的成果、数量以及服务质量是否达到采购人或行业标准： (1)所验服务的质量通过验收达不到磋商文件要求和响应文件承诺的，或在使用中发现采购人不能容忍的缺陷等，将视为验收不合格，成交人应无条件免费修改，直至满足采购人要求。 (2)若发现成交人有弄虚作假的,在投标阶段故意或随意夸大服务内容、服务质量，成交人应无条件退款，并赔偿采购人相应的损失，赔偿金额双方协商确定。 (3)验收标准：按磋商文件、响应文件及澄清函等技术指标进行验收。各项指标均应符合验收标准及要求。 (4)验收合格后，填写验收单，双方签字生效。 (5)验收依据：合同文本；响应文件及澄清函、磋商文件；国家和行业制定的相应的标准和规范；验收清单。</w:t>
      </w:r>
    </w:p>
    <w:p w14:paraId="5CB127E5">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3.3.4支付方式</w:t>
      </w:r>
    </w:p>
    <w:p w14:paraId="6054F5E8">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6370D8E8">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分期付款</w:t>
      </w:r>
    </w:p>
    <w:p w14:paraId="2E17FA67">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3.3.5支付约定</w:t>
      </w:r>
    </w:p>
    <w:p w14:paraId="09195DEE">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4C94B666">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 付款条件说明： 签订合同 ，达到付款条件起 10 日内， 支付合同总金额的40.00%。</w:t>
      </w:r>
    </w:p>
    <w:p w14:paraId="24380EE1">
      <w:pPr>
        <w:pStyle w:val="1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 付款条件说明： 组织验收 ，达到付款条件起 10 日内， 支付合同总金额的60.00%。</w:t>
      </w:r>
    </w:p>
    <w:p w14:paraId="2C140AED">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3.3.6违约责任及解决争议的方法</w:t>
      </w:r>
    </w:p>
    <w:p w14:paraId="540C6117">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364AC8FC">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因履行本合同引起的或与本合同有关的争议，甲、乙双方应首先通过友好协商解决;如果协商不能解决争议，甲乙双方同意采取下列两种方式的第( 1 )种方式解决争议: (1)向甲方所在地有管辖权的人民法院提起诉讼，适用中华人民共和国法律; (2)向西安市仲裁委员会按其仲裁规则申请仲裁。</w:t>
      </w:r>
    </w:p>
    <w:p w14:paraId="652EC4CF">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36" w:name="_Toc7852"/>
      <w:r>
        <w:rPr>
          <w:rFonts w:hint="eastAsia" w:ascii="仿宋" w:hAnsi="仿宋" w:eastAsia="仿宋" w:cs="仿宋"/>
          <w:b/>
          <w:sz w:val="24"/>
          <w:szCs w:val="24"/>
        </w:rPr>
        <w:t>3.4其他要求</w:t>
      </w:r>
      <w:bookmarkEnd w:id="36"/>
    </w:p>
    <w:p w14:paraId="4BFC0CB0">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sz w:val="24"/>
          <w:szCs w:val="24"/>
        </w:rPr>
        <w:t>1.成交人在领取成交通知书时提供一正三副纸质竞争性磋商响应文件，纸质响应文件采用书籍（胶装）方式装订成册，须编制目录、页码和书脊，在书脊处标注项目名称和项目编号，与电子响应文件一致的签字、盖章的完整版本。2.采购人应按照竞争性磋商文件和成交人响应文件，在成交通知书发出之日起25日内签订合同。3.本项目采购标的对应的中小企业划分标准所属行业为其他未列明行业。</w:t>
      </w:r>
    </w:p>
    <w:p w14:paraId="5A0894DC">
      <w:pPr>
        <w:pStyle w:val="13"/>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br w:type="textWrapping"/>
      </w:r>
      <w:r>
        <w:rPr>
          <w:rFonts w:hint="eastAsia" w:ascii="仿宋" w:hAnsi="仿宋" w:eastAsia="仿宋" w:cs="仿宋"/>
        </w:rPr>
        <w:br w:type="page"/>
      </w:r>
    </w:p>
    <w:p w14:paraId="3034242A">
      <w:pPr>
        <w:pStyle w:val="13"/>
        <w:jc w:val="center"/>
        <w:outlineLvl w:val="1"/>
        <w:rPr>
          <w:rFonts w:hint="eastAsia" w:ascii="仿宋" w:hAnsi="仿宋" w:eastAsia="仿宋" w:cs="仿宋"/>
        </w:rPr>
      </w:pPr>
      <w:bookmarkStart w:id="37" w:name="_Toc15456"/>
      <w:r>
        <w:rPr>
          <w:rFonts w:hint="eastAsia" w:ascii="仿宋" w:hAnsi="仿宋" w:eastAsia="仿宋" w:cs="仿宋"/>
          <w:b/>
          <w:sz w:val="36"/>
        </w:rPr>
        <w:t>第四章 资格审查</w:t>
      </w:r>
      <w:bookmarkEnd w:id="37"/>
    </w:p>
    <w:p w14:paraId="04D3E841">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 资格审查由采购人或代理机构组建的资格审查小组依据法律法规和磋商文件的规定，对响应文件中的资格证明等进行审查，以确定供应商是否具备投标资格，并出具资格审查报告。</w:t>
      </w:r>
    </w:p>
    <w:p w14:paraId="7F38FA1C">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资格审查标准及要求如下：</w:t>
      </w:r>
    </w:p>
    <w:p w14:paraId="2746F2A7">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4.1一般资格审查</w:t>
      </w:r>
    </w:p>
    <w:p w14:paraId="6B5DFCC4">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tbl>
      <w:tblPr>
        <w:tblStyle w:val="10"/>
        <w:tblW w:w="9378" w:type="dxa"/>
        <w:tblInd w:w="-421"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6"/>
        <w:gridCol w:w="2689"/>
        <w:gridCol w:w="4757"/>
        <w:gridCol w:w="1216"/>
      </w:tblGrid>
      <w:tr w14:paraId="15C774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25F5E901">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2689" w:type="dxa"/>
            <w:vAlign w:val="center"/>
          </w:tcPr>
          <w:p w14:paraId="7BA53621">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审查内容</w:t>
            </w:r>
          </w:p>
        </w:tc>
        <w:tc>
          <w:tcPr>
            <w:tcW w:w="4757" w:type="dxa"/>
            <w:vAlign w:val="center"/>
          </w:tcPr>
          <w:p w14:paraId="5DFD07AE">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具体标准和要求</w:t>
            </w:r>
          </w:p>
        </w:tc>
        <w:tc>
          <w:tcPr>
            <w:tcW w:w="1216" w:type="dxa"/>
            <w:vAlign w:val="center"/>
          </w:tcPr>
          <w:p w14:paraId="3B0CBAB1">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关联投标（响应）文件格式文件</w:t>
            </w:r>
          </w:p>
        </w:tc>
      </w:tr>
      <w:tr w14:paraId="7FD893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5C1626B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2689" w:type="dxa"/>
            <w:vAlign w:val="center"/>
          </w:tcPr>
          <w:p w14:paraId="145880CB">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供应商应具备《中华人民共和国政府采购法》第二十二条规定的条件</w:t>
            </w:r>
          </w:p>
        </w:tc>
        <w:tc>
          <w:tcPr>
            <w:tcW w:w="4757" w:type="dxa"/>
            <w:vAlign w:val="center"/>
          </w:tcPr>
          <w:p w14:paraId="7A7887D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供应商需在项目电子化交易系统中按要求填写《投标函》完成承诺并进行电子签章。</w:t>
            </w:r>
          </w:p>
        </w:tc>
        <w:tc>
          <w:tcPr>
            <w:tcW w:w="1216" w:type="dxa"/>
            <w:vAlign w:val="center"/>
          </w:tcPr>
          <w:p w14:paraId="3BBEE82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资格证明文件 响应函</w:t>
            </w:r>
          </w:p>
        </w:tc>
      </w:tr>
      <w:tr w14:paraId="43FD7B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5D2DB5E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2689" w:type="dxa"/>
            <w:vAlign w:val="center"/>
          </w:tcPr>
          <w:p w14:paraId="24742CE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供应商应提供健全的财务会计制度的证明材料；</w:t>
            </w:r>
          </w:p>
        </w:tc>
        <w:tc>
          <w:tcPr>
            <w:tcW w:w="4757" w:type="dxa"/>
            <w:vAlign w:val="center"/>
          </w:tcPr>
          <w:p w14:paraId="169A4E3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关于财务会计制度的证明材料｛注：①可提供2024或2025年度经审计的财务报告（包含审计报告和审计报告中所涉及的财务报表和报表附注），②可提供2024或2025年度供应商完整的全套财务报表（应当包括资产负债表、利润表、现金流量表、所有者权益变动表、附注），③可提供截至资格预审申请文件提交截止日一年内银行出具的资信证明，④供应商注册时间截至资格预审申请文件提交截止日不足一年的，也可提供在工商管理部门备案的公司章程。不得要求供应商提供证明财务报告中签字签章人或者第三方机构的身份证明、财务报告中数据信息真实性有效性的证明材料。｝ 供应商需在项目电子化交易系统中按要求上传相应证明文件并进行电子签章。此项与供应商特殊资格要求“财务状况报告”为同一审查项。</w:t>
            </w:r>
          </w:p>
        </w:tc>
        <w:tc>
          <w:tcPr>
            <w:tcW w:w="1216" w:type="dxa"/>
            <w:vAlign w:val="center"/>
          </w:tcPr>
          <w:p w14:paraId="3B4D19F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资格证明文件</w:t>
            </w:r>
          </w:p>
        </w:tc>
      </w:tr>
      <w:tr w14:paraId="6E2046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vAlign w:val="center"/>
          </w:tcPr>
          <w:p w14:paraId="0D62E7C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2689" w:type="dxa"/>
            <w:vAlign w:val="center"/>
          </w:tcPr>
          <w:p w14:paraId="49402385">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4757" w:type="dxa"/>
            <w:vAlign w:val="center"/>
          </w:tcPr>
          <w:p w14:paraId="6595EBF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供应商需在项目电子化交易系统中按要求填写《投标函》完成承诺并进行电子签章。此项审查内容与特殊资格条件中的“控股关系查询”为同一审查内容。</w:t>
            </w:r>
          </w:p>
        </w:tc>
        <w:tc>
          <w:tcPr>
            <w:tcW w:w="1216" w:type="dxa"/>
            <w:vAlign w:val="center"/>
          </w:tcPr>
          <w:p w14:paraId="6A35A17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资格证明文件 响应函</w:t>
            </w:r>
          </w:p>
        </w:tc>
      </w:tr>
    </w:tbl>
    <w:p w14:paraId="4D6E6E74">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4.2落实政府采购政策资格审查</w:t>
      </w:r>
    </w:p>
    <w:p w14:paraId="5C16CA18">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tbl>
      <w:tblPr>
        <w:tblStyle w:val="10"/>
        <w:tblW w:w="9406" w:type="dxa"/>
        <w:tblInd w:w="-43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66"/>
        <w:gridCol w:w="2492"/>
        <w:gridCol w:w="3322"/>
        <w:gridCol w:w="2326"/>
      </w:tblGrid>
      <w:tr w14:paraId="4B3013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66" w:type="dxa"/>
            <w:vAlign w:val="center"/>
          </w:tcPr>
          <w:p w14:paraId="15CD4842">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2492" w:type="dxa"/>
            <w:vAlign w:val="center"/>
          </w:tcPr>
          <w:p w14:paraId="2343A0F0">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审查内容</w:t>
            </w:r>
          </w:p>
        </w:tc>
        <w:tc>
          <w:tcPr>
            <w:tcW w:w="3322" w:type="dxa"/>
            <w:vAlign w:val="center"/>
          </w:tcPr>
          <w:p w14:paraId="1F655A2A">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具体标准和要求</w:t>
            </w:r>
          </w:p>
        </w:tc>
        <w:tc>
          <w:tcPr>
            <w:tcW w:w="2326" w:type="dxa"/>
            <w:vAlign w:val="center"/>
          </w:tcPr>
          <w:p w14:paraId="3723160F">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关联投标（响应）文件格式文件</w:t>
            </w:r>
          </w:p>
        </w:tc>
      </w:tr>
      <w:tr w14:paraId="4D0D6B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06" w:type="dxa"/>
            <w:gridSpan w:val="4"/>
            <w:vAlign w:val="center"/>
          </w:tcPr>
          <w:p w14:paraId="3AE1593F">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无</w:t>
            </w:r>
          </w:p>
        </w:tc>
      </w:tr>
    </w:tbl>
    <w:p w14:paraId="31F6EF83">
      <w:pPr>
        <w:pStyle w:val="13"/>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4.3特殊资格审查</w:t>
      </w:r>
    </w:p>
    <w:p w14:paraId="2724787E">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tbl>
      <w:tblPr>
        <w:tblStyle w:val="10"/>
        <w:tblW w:w="9419" w:type="dxa"/>
        <w:tblInd w:w="-43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3"/>
        <w:gridCol w:w="2039"/>
        <w:gridCol w:w="5298"/>
        <w:gridCol w:w="1419"/>
      </w:tblGrid>
      <w:tr w14:paraId="23DFF1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3" w:type="dxa"/>
            <w:vAlign w:val="center"/>
          </w:tcPr>
          <w:p w14:paraId="5769F8B5">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2039" w:type="dxa"/>
            <w:vAlign w:val="center"/>
          </w:tcPr>
          <w:p w14:paraId="6536871E">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审查内容</w:t>
            </w:r>
          </w:p>
        </w:tc>
        <w:tc>
          <w:tcPr>
            <w:tcW w:w="5298" w:type="dxa"/>
            <w:vAlign w:val="center"/>
          </w:tcPr>
          <w:p w14:paraId="2CAEBCC0">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具体标准和要求</w:t>
            </w:r>
          </w:p>
        </w:tc>
        <w:tc>
          <w:tcPr>
            <w:tcW w:w="1419" w:type="dxa"/>
            <w:vAlign w:val="center"/>
          </w:tcPr>
          <w:p w14:paraId="5C3C5562">
            <w:pPr>
              <w:pStyle w:val="13"/>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关联投标（响应）文件格式文件</w:t>
            </w:r>
          </w:p>
        </w:tc>
      </w:tr>
      <w:tr w14:paraId="2DF48B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3" w:type="dxa"/>
            <w:vAlign w:val="center"/>
          </w:tcPr>
          <w:p w14:paraId="6A4AC08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2039" w:type="dxa"/>
            <w:vAlign w:val="center"/>
          </w:tcPr>
          <w:p w14:paraId="5D6C818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提供供应商合法注册的法人或其他组织的营业执照/事业单位法人证书/非企业专业服务机构执业许可证/民办非企业单位登记证书</w:t>
            </w:r>
          </w:p>
        </w:tc>
        <w:tc>
          <w:tcPr>
            <w:tcW w:w="5298" w:type="dxa"/>
            <w:vAlign w:val="center"/>
          </w:tcPr>
          <w:p w14:paraId="57789B4A">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提供供应商合法注册的法人或其他组织的营业执照/事业单位法人证书/非企业专业服务机构执业许可证/民办非企业单位登记证书；</w:t>
            </w:r>
          </w:p>
        </w:tc>
        <w:tc>
          <w:tcPr>
            <w:tcW w:w="1419" w:type="dxa"/>
            <w:vAlign w:val="center"/>
          </w:tcPr>
          <w:p w14:paraId="5133948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资格证明文件</w:t>
            </w:r>
          </w:p>
        </w:tc>
      </w:tr>
      <w:tr w14:paraId="6498B9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3" w:type="dxa"/>
            <w:vAlign w:val="center"/>
          </w:tcPr>
          <w:p w14:paraId="17C66E76">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2039" w:type="dxa"/>
            <w:vAlign w:val="center"/>
          </w:tcPr>
          <w:p w14:paraId="7561B27B">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财务状况报告</w:t>
            </w:r>
          </w:p>
        </w:tc>
        <w:tc>
          <w:tcPr>
            <w:tcW w:w="5298" w:type="dxa"/>
            <w:vAlign w:val="center"/>
          </w:tcPr>
          <w:p w14:paraId="54627C5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财务状况报告：提供具有财务审计资质单位出具合法有效的2024年度或2025年度财务报告（成立时间至开标时间不足一年的可提供成立后任意时段的资产负债表）或开标前六个月内其基本开户银行出具的资信证明或政府采购信用担保机构出具的担保函；注：财会〔2023〕15号文《财政部 国务院国资委 金融监管总局关于加强审计报告查验工作的通知》会计师事务所应当主动向被审计单位提供附验证码的审计报告。即2023年及以后的审计报告需附验证码；</w:t>
            </w:r>
          </w:p>
        </w:tc>
        <w:tc>
          <w:tcPr>
            <w:tcW w:w="1419" w:type="dxa"/>
            <w:vAlign w:val="center"/>
          </w:tcPr>
          <w:p w14:paraId="5A35381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资格证明文件</w:t>
            </w:r>
          </w:p>
        </w:tc>
      </w:tr>
      <w:tr w14:paraId="10492A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3" w:type="dxa"/>
            <w:vAlign w:val="center"/>
          </w:tcPr>
          <w:p w14:paraId="2937BC5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2039" w:type="dxa"/>
            <w:vAlign w:val="center"/>
          </w:tcPr>
          <w:p w14:paraId="2AA4C94A">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税收缴纳证明</w:t>
            </w:r>
          </w:p>
        </w:tc>
        <w:tc>
          <w:tcPr>
            <w:tcW w:w="5298" w:type="dxa"/>
            <w:vAlign w:val="center"/>
          </w:tcPr>
          <w:p w14:paraId="20B0635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税收缴纳证明：提供截止至开标时间前一年内任意一个月的缴纳凭据（增值税、企业所得税至少提供一种，依法免税的供应商应提供相关文件证明）；</w:t>
            </w:r>
          </w:p>
        </w:tc>
        <w:tc>
          <w:tcPr>
            <w:tcW w:w="1419" w:type="dxa"/>
            <w:vAlign w:val="center"/>
          </w:tcPr>
          <w:p w14:paraId="2ADD1CC0">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资格证明文件</w:t>
            </w:r>
          </w:p>
        </w:tc>
      </w:tr>
      <w:tr w14:paraId="62CFF4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3" w:type="dxa"/>
            <w:vAlign w:val="center"/>
          </w:tcPr>
          <w:p w14:paraId="504ADD0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2039" w:type="dxa"/>
            <w:vAlign w:val="center"/>
          </w:tcPr>
          <w:p w14:paraId="00A1119C">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社会保障资金缴纳证明</w:t>
            </w:r>
          </w:p>
        </w:tc>
        <w:tc>
          <w:tcPr>
            <w:tcW w:w="5298" w:type="dxa"/>
            <w:vAlign w:val="center"/>
          </w:tcPr>
          <w:p w14:paraId="0DB2EBF9">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社会保障资金缴纳证明：提供截止至开标时间前一年内任意一个月的社保缴纳凭据或社保机构开具的社会保险参保缴纳情况证明（依法不需要缴纳社会保障资金的供应商应提供相关证明）；</w:t>
            </w:r>
          </w:p>
        </w:tc>
        <w:tc>
          <w:tcPr>
            <w:tcW w:w="1419" w:type="dxa"/>
            <w:vAlign w:val="center"/>
          </w:tcPr>
          <w:p w14:paraId="1005363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资格证明文件</w:t>
            </w:r>
          </w:p>
        </w:tc>
      </w:tr>
      <w:tr w14:paraId="6008CA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3" w:type="dxa"/>
            <w:vAlign w:val="center"/>
          </w:tcPr>
          <w:p w14:paraId="7F210DA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2039" w:type="dxa"/>
            <w:vAlign w:val="center"/>
          </w:tcPr>
          <w:p w14:paraId="79055E9E">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提供具有履行本合同所必需的设备和专业技术能力的说明及承诺</w:t>
            </w:r>
          </w:p>
        </w:tc>
        <w:tc>
          <w:tcPr>
            <w:tcW w:w="5298" w:type="dxa"/>
            <w:vAlign w:val="center"/>
          </w:tcPr>
          <w:p w14:paraId="7A4A8D1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提供具有履行本合同所必需的设备和专业技术能力的说明及承诺（提供书面说明及承诺，加盖供应商公章）；</w:t>
            </w:r>
          </w:p>
        </w:tc>
        <w:tc>
          <w:tcPr>
            <w:tcW w:w="1419" w:type="dxa"/>
            <w:vAlign w:val="center"/>
          </w:tcPr>
          <w:p w14:paraId="4C74B32B">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资格证明文件</w:t>
            </w:r>
          </w:p>
        </w:tc>
      </w:tr>
      <w:tr w14:paraId="67550A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3" w:type="dxa"/>
            <w:vAlign w:val="center"/>
          </w:tcPr>
          <w:p w14:paraId="5EC53B53">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2039" w:type="dxa"/>
            <w:vAlign w:val="center"/>
          </w:tcPr>
          <w:p w14:paraId="288BEA4D">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提供参加政府采购活动前三年内在经营活动中没有重大违法记录的书面声明</w:t>
            </w:r>
          </w:p>
        </w:tc>
        <w:tc>
          <w:tcPr>
            <w:tcW w:w="5298" w:type="dxa"/>
            <w:vAlign w:val="center"/>
          </w:tcPr>
          <w:p w14:paraId="0885801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提供参加政府采购活动前三年内在经营活动中没有重大违法记录的书面声明（提供书面声明，加盖供应商公章）；</w:t>
            </w:r>
          </w:p>
        </w:tc>
        <w:tc>
          <w:tcPr>
            <w:tcW w:w="1419" w:type="dxa"/>
            <w:vAlign w:val="center"/>
          </w:tcPr>
          <w:p w14:paraId="4DD25E68">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资格证明文件</w:t>
            </w:r>
          </w:p>
        </w:tc>
      </w:tr>
      <w:tr w14:paraId="43D774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3" w:type="dxa"/>
            <w:vAlign w:val="center"/>
          </w:tcPr>
          <w:p w14:paraId="16CC1A31">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2039" w:type="dxa"/>
            <w:vAlign w:val="center"/>
          </w:tcPr>
          <w:p w14:paraId="7E6A36CA">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法定代表人授权委托书</w:t>
            </w:r>
          </w:p>
        </w:tc>
        <w:tc>
          <w:tcPr>
            <w:tcW w:w="5298" w:type="dxa"/>
            <w:vAlign w:val="center"/>
          </w:tcPr>
          <w:p w14:paraId="6847C47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法定代表人授权委托书（附法定代表人身份证复印件及被授权人身份证复印件）；法定代表人直接参加磋商提供法定代表人资格证明书（附法定代表人身份证复印件）；采购文件凡是法定代表人之处，非法人单位的负责人均参照执行（式样见响应文件格式）；</w:t>
            </w:r>
          </w:p>
        </w:tc>
        <w:tc>
          <w:tcPr>
            <w:tcW w:w="1419" w:type="dxa"/>
            <w:vAlign w:val="center"/>
          </w:tcPr>
          <w:p w14:paraId="7877915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资格证明文件</w:t>
            </w:r>
          </w:p>
        </w:tc>
      </w:tr>
      <w:tr w14:paraId="522B5E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3" w:type="dxa"/>
            <w:vAlign w:val="center"/>
          </w:tcPr>
          <w:p w14:paraId="7CD4CA17">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2039" w:type="dxa"/>
            <w:vAlign w:val="center"/>
          </w:tcPr>
          <w:p w14:paraId="7F22F63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信用查询</w:t>
            </w:r>
          </w:p>
        </w:tc>
        <w:tc>
          <w:tcPr>
            <w:tcW w:w="5298" w:type="dxa"/>
            <w:vAlign w:val="center"/>
          </w:tcPr>
          <w:p w14:paraId="4F6B187A">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根据财库〔2019〕38号文规定，此项在磋商截止日当天在“信用中国”网站和中国政府采购网站进行查询，截图留档；如网站无供应商信息的，供应商须提供相关证明资料或书面声明）；</w:t>
            </w:r>
          </w:p>
        </w:tc>
        <w:tc>
          <w:tcPr>
            <w:tcW w:w="1419" w:type="dxa"/>
            <w:vAlign w:val="center"/>
          </w:tcPr>
          <w:p w14:paraId="725B254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资格证明文件</w:t>
            </w:r>
          </w:p>
        </w:tc>
      </w:tr>
      <w:tr w14:paraId="69EA30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3" w:type="dxa"/>
            <w:vAlign w:val="center"/>
          </w:tcPr>
          <w:p w14:paraId="42379772">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2039" w:type="dxa"/>
            <w:vAlign w:val="center"/>
          </w:tcPr>
          <w:p w14:paraId="770D5084">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控股关系查询</w:t>
            </w:r>
          </w:p>
        </w:tc>
        <w:tc>
          <w:tcPr>
            <w:tcW w:w="5298" w:type="dxa"/>
            <w:vAlign w:val="center"/>
          </w:tcPr>
          <w:p w14:paraId="0ECD5EC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单位负责人为同一人或者存在直接控股、管理关系的不同供应商，不得参加同一合同项下的政府采购活动。（根据财库〔2019〕38号文规定，此项在磋商截止日当天在“国家企业信用信息公示系统”进行查询，截图留档；如网站无供应商信息的，供应商须提供相关证明资料或书面声明）。</w:t>
            </w:r>
          </w:p>
        </w:tc>
        <w:tc>
          <w:tcPr>
            <w:tcW w:w="1419" w:type="dxa"/>
            <w:vAlign w:val="center"/>
          </w:tcPr>
          <w:p w14:paraId="35ADBA2F">
            <w:pPr>
              <w:pStyle w:val="13"/>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资格证明文件</w:t>
            </w:r>
          </w:p>
        </w:tc>
      </w:tr>
    </w:tbl>
    <w:p w14:paraId="44FD8794">
      <w:pPr>
        <w:pStyle w:val="13"/>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br w:type="textWrapping"/>
      </w:r>
      <w:r>
        <w:rPr>
          <w:rFonts w:hint="eastAsia" w:ascii="仿宋" w:hAnsi="仿宋" w:eastAsia="仿宋" w:cs="仿宋"/>
        </w:rPr>
        <w:br w:type="page"/>
      </w:r>
    </w:p>
    <w:p w14:paraId="0F44448F">
      <w:pPr>
        <w:pStyle w:val="13"/>
        <w:jc w:val="center"/>
        <w:outlineLvl w:val="1"/>
        <w:rPr>
          <w:rFonts w:hint="eastAsia" w:ascii="仿宋" w:hAnsi="仿宋" w:eastAsia="仿宋" w:cs="仿宋"/>
        </w:rPr>
      </w:pPr>
      <w:bookmarkStart w:id="38" w:name="_Toc22396"/>
      <w:r>
        <w:rPr>
          <w:rFonts w:hint="eastAsia" w:ascii="仿宋" w:hAnsi="仿宋" w:eastAsia="仿宋" w:cs="仿宋"/>
          <w:b/>
          <w:sz w:val="36"/>
        </w:rPr>
        <w:t>第五章 磋商过程中可实质性变动的内容</w:t>
      </w:r>
      <w:bookmarkEnd w:id="38"/>
    </w:p>
    <w:p w14:paraId="46B4366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rPr>
        <w:t xml:space="preserve"> </w:t>
      </w:r>
      <w:r>
        <w:rPr>
          <w:rFonts w:hint="eastAsia" w:ascii="仿宋" w:hAnsi="仿宋" w:eastAsia="仿宋" w:cs="仿宋"/>
          <w:sz w:val="24"/>
          <w:szCs w:val="24"/>
        </w:rPr>
        <w:t>磋商小组可以根据磋商文件和磋商情况实质性变动第三章“磋商项目技术、服务、商务及其他要求”、第八章“拟签订采购合同文本”，但不得变动磋商文件中的其他内容。实质性变动的内容，须经采购人代表确认。</w:t>
      </w:r>
    </w:p>
    <w:p w14:paraId="351095BF">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在磋商过程中，磋商小组根据项目实际需要制定磋商内容，在获得采购人代表确认的前提下，可以根据磋商情况实质性变动相关内容。磋商小组对磋商文件作出的实质性变动是磋商文件的有效组成部分，磋商小组应及时通知所有参加磋商的供应商。</w:t>
      </w:r>
    </w:p>
    <w:p w14:paraId="23EB9252">
      <w:pPr>
        <w:pStyle w:val="13"/>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br w:type="textWrapping"/>
      </w:r>
      <w:r>
        <w:rPr>
          <w:rFonts w:hint="eastAsia" w:ascii="仿宋" w:hAnsi="仿宋" w:eastAsia="仿宋" w:cs="仿宋"/>
        </w:rPr>
        <w:br w:type="page"/>
      </w:r>
    </w:p>
    <w:p w14:paraId="4199441E">
      <w:pPr>
        <w:pStyle w:val="13"/>
        <w:jc w:val="center"/>
        <w:outlineLvl w:val="1"/>
        <w:rPr>
          <w:rFonts w:hint="eastAsia" w:ascii="仿宋" w:hAnsi="仿宋" w:eastAsia="仿宋" w:cs="仿宋"/>
        </w:rPr>
      </w:pPr>
      <w:bookmarkStart w:id="39" w:name="_Toc14507"/>
      <w:r>
        <w:rPr>
          <w:rFonts w:hint="eastAsia" w:ascii="仿宋" w:hAnsi="仿宋" w:eastAsia="仿宋" w:cs="仿宋"/>
          <w:b/>
          <w:sz w:val="36"/>
        </w:rPr>
        <w:t>第六章 磋商办法</w:t>
      </w:r>
      <w:bookmarkEnd w:id="39"/>
    </w:p>
    <w:p w14:paraId="3B05B29C">
      <w:pPr>
        <w:pStyle w:val="13"/>
        <w:keepNext w:val="0"/>
        <w:keepLines w:val="0"/>
        <w:pageBreakBefore w:val="0"/>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40" w:name="_Toc4104"/>
      <w:r>
        <w:rPr>
          <w:rFonts w:hint="eastAsia" w:ascii="仿宋" w:hAnsi="仿宋" w:eastAsia="仿宋" w:cs="仿宋"/>
          <w:b/>
          <w:sz w:val="24"/>
          <w:szCs w:val="24"/>
        </w:rPr>
        <w:t>6.1总则</w:t>
      </w:r>
      <w:bookmarkEnd w:id="40"/>
    </w:p>
    <w:p w14:paraId="0811C97B">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 一、根据《中华人民共和国政府采购法》《中华人民共和国政府采购法实施条例》《政府采购竞争性磋商采购方式管理暂行办法》《陕西省政府采购评审专家管理实施办法》等法律规章，结合本采购项目特点制定本次竞争性磋商评审方法。</w:t>
      </w:r>
    </w:p>
    <w:p w14:paraId="73DE72FA">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二、评审工作由代理机构组织，具体评审事务由依法组建的磋商小组负责。</w:t>
      </w:r>
    </w:p>
    <w:p w14:paraId="10FD3A42">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三、评审工作应遵循客观、公正、审慎的原则，并以相同的磋商程序和标准对待所有的供应商。</w:t>
      </w:r>
    </w:p>
    <w:p w14:paraId="659C67D0">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四、本项目采取电子评审，通过项目电子化交易系统完成评审工作。磋商小组成员、采购人、代理机构和供应商应当按照本磋商文件规定和项目电子化交易系统操作要求开展或者参加评审活动。</w:t>
      </w:r>
    </w:p>
    <w:p w14:paraId="0F7DA3E4">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评审过程中的书面材料往来均通过项目电子化交易系统传递，评审委员会成员使用互认的证书及签章进行签名后生效，供应商通过互认的证书及签章加盖其电子印章后生效。出现无法在线签章的特殊情况，评审委员会成员可以线下签署评标报告，由代理机构对原件扫描后以附件形式上传。</w:t>
      </w:r>
    </w:p>
    <w:p w14:paraId="757E2546">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六、评审过程应当独立、保密，任何单位和个人不得非法干预评审活动。供应商非法干预评审活动的，其响应文件将作无效处理；代理机构、采购人及其工作人员、采购人监督人员非法干预评审活动的，将依法追究其责任。</w:t>
      </w:r>
    </w:p>
    <w:p w14:paraId="410B0780">
      <w:pPr>
        <w:pStyle w:val="13"/>
        <w:keepNext w:val="0"/>
        <w:keepLines w:val="0"/>
        <w:pageBreakBefore w:val="0"/>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41" w:name="_Toc8673"/>
      <w:r>
        <w:rPr>
          <w:rFonts w:hint="eastAsia" w:ascii="仿宋" w:hAnsi="仿宋" w:eastAsia="仿宋" w:cs="仿宋"/>
          <w:b/>
          <w:sz w:val="24"/>
          <w:szCs w:val="24"/>
        </w:rPr>
        <w:t>6.2 磋商小组</w:t>
      </w:r>
      <w:bookmarkEnd w:id="41"/>
    </w:p>
    <w:p w14:paraId="2778EAA2">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评审专家是采取随机方式在政府采购平台的专家库系统（以下简称专家库系统）抽取/由采购人根据《陕西省政府采购评审专家管理实施办法》（陕财办采〔2018〕20号）的规定，报主管部门同意后自行选定。</w:t>
      </w:r>
    </w:p>
    <w:p w14:paraId="6B3949C1">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一、磋商小组成员应当满足并适应电子化采购评审的工作需要，使用已身份认证并具备签章功能的证书，登录项目电子化交易系统进入项目评审功能模块确认身份、签到、推荐磋商小组组长。</w:t>
      </w:r>
    </w:p>
    <w:p w14:paraId="2E298F37">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磋商小组成员获取解密后的响应文件，开展评审活动。出现应当回避的情形时，磋商小组成员应当主动回避；代理机构按规定申请补充抽取评审专家；无法及时补充抽取的，采购人或者代理机构应当封存供应商响应文件，按规定重新组建磋商小组，解封响应文件后，开展评审活动。</w:t>
      </w:r>
    </w:p>
    <w:p w14:paraId="28C80ED2">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三、磋商小组按照磋商文件规定的磋商程序、评分方法和标准进行评审，并独立履行下列职责：</w:t>
      </w:r>
    </w:p>
    <w:p w14:paraId="0204E72C">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（一）熟悉和理解磋商文件；</w:t>
      </w:r>
    </w:p>
    <w:p w14:paraId="5AFA9E52">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（二）审查供应商响应文件等是否满足磋商文件要求，并作出评价；</w:t>
      </w:r>
    </w:p>
    <w:p w14:paraId="08A27AFB">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（三）根据需要要求采购组织单位对磋商文件作出解释；根据需要要求供应商对响应文件有关事项作出澄清、说明或者更正；</w:t>
      </w:r>
    </w:p>
    <w:p w14:paraId="39E69864">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（四）推荐成交候选供应商，或者受采购人委托确定成交供应商；</w:t>
      </w:r>
    </w:p>
    <w:p w14:paraId="1457CA5A">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（五）起草资格审查报告、评审报告并进行签署；</w:t>
      </w:r>
    </w:p>
    <w:p w14:paraId="138A4D57">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（六）向采购组织单位、财政部门或者其他监督部门报告非法干预评审工作的行为；</w:t>
      </w:r>
    </w:p>
    <w:p w14:paraId="16712595">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（七）法律、法规和规章规定的其他职责。</w:t>
      </w:r>
    </w:p>
    <w:p w14:paraId="09DBC2BE">
      <w:pPr>
        <w:pStyle w:val="13"/>
        <w:keepNext w:val="0"/>
        <w:keepLines w:val="0"/>
        <w:pageBreakBefore w:val="0"/>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42" w:name="_Toc19061"/>
      <w:r>
        <w:rPr>
          <w:rFonts w:hint="eastAsia" w:ascii="仿宋" w:hAnsi="仿宋" w:eastAsia="仿宋" w:cs="仿宋"/>
          <w:b/>
          <w:sz w:val="24"/>
          <w:szCs w:val="24"/>
        </w:rPr>
        <w:t>6.3评审程序</w:t>
      </w:r>
      <w:bookmarkEnd w:id="42"/>
    </w:p>
    <w:p w14:paraId="0EC6571D">
      <w:pPr>
        <w:pStyle w:val="13"/>
        <w:keepNext w:val="0"/>
        <w:keepLines w:val="0"/>
        <w:pageBreakBefore w:val="0"/>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6.3.1.熟悉和理解磋商文件和停止评审</w:t>
      </w:r>
    </w:p>
    <w:p w14:paraId="1C1020E0">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一、磋商小组正式评审前，应当对磋商文件进行熟悉和理解，内容主要包括磋商文件中供应商资格条件要求、采购项目技术、服务和商务要求、磋商办法和标准、政府采购政策要求以及政府采购合同主要条款等。</w:t>
      </w:r>
    </w:p>
    <w:p w14:paraId="6E91DDE7">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二、本磋商文件有下列情形之一的，磋商小组应当停止评审：</w:t>
      </w:r>
    </w:p>
    <w:p w14:paraId="36B4CB0D">
      <w:pPr>
        <w:pStyle w:val="13"/>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（一）磋商文件的规定存在歧义、重大缺陷的；</w:t>
      </w:r>
    </w:p>
    <w:p w14:paraId="77746FE8">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（二）磋商文件明显以不合理条件对供应商实行差别待遇或者歧视待遇的；</w:t>
      </w:r>
    </w:p>
    <w:p w14:paraId="210509F6">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（三）采购项目属于国家规定的优先、强制采购范围，但是磋商文件未依法体现优先、强制采购相关规定的；</w:t>
      </w:r>
    </w:p>
    <w:p w14:paraId="6DAD34C7">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（四）采购项目属于政府采购促进中小企业发展的范围，但是磋商文件未依法体现促进中小企业发展相关规定的；</w:t>
      </w:r>
    </w:p>
    <w:p w14:paraId="289200E5">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（五）磋商文件将供应商的资格条件列为评分因素的；</w:t>
      </w:r>
    </w:p>
    <w:p w14:paraId="1D6EE08E">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（六）磋商文件载明的成交原则不合法的；</w:t>
      </w:r>
    </w:p>
    <w:p w14:paraId="42B878D9">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（七）磋商文件有违反国家其他有关强制性规定的情形。</w:t>
      </w:r>
    </w:p>
    <w:p w14:paraId="7301D6E8">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出现上述应当停止评审情形的，磋商小组应当通过项目电子化交易系统向采购组织单位提交相关说明材料，说明停止评审的情形和具体理由。除上述情形外，磋商小组不得以任何方式和理由停止评审。</w:t>
      </w:r>
    </w:p>
    <w:p w14:paraId="526576A0">
      <w:pPr>
        <w:pStyle w:val="13"/>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出现上述应当停止评审情形的，采购组织单位应当通过项目电子化交易系统书面告知参加采购活动的供应商，并说明具体原因，同时在陕西省政府采购网公告。采购组织单位认为磋商小组不应当停止评审的，可以书面报告采购项目同级财政部门依法处理，并提供相关证明材料。</w:t>
      </w:r>
    </w:p>
    <w:p w14:paraId="0C7CC38F">
      <w:pPr>
        <w:pStyle w:val="13"/>
        <w:keepNext w:val="0"/>
        <w:keepLines w:val="0"/>
        <w:pageBreakBefore w:val="0"/>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6.3.2符合性审查</w:t>
      </w:r>
    </w:p>
    <w:p w14:paraId="739E1818">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一、磋商小组依据本磋商文件的实质性要求，对符合资格的响应文件进行审查，以确定其是否满足本磋商文件的实质性要求。本项目的符合性审查事项必须以本磋商文件明确规定的实质性要求为依据。</w:t>
      </w:r>
    </w:p>
    <w:p w14:paraId="5EF2363E">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二、在符合性审查过程中，如果出现磋商小组成员意见不一致的情况，按照少数服从多数的原则确定，但不得违背政府采购基本原则和磋商文件规定。</w:t>
      </w:r>
    </w:p>
    <w:p w14:paraId="5ECB2A8F">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三、磋商小组对所有响应文件进行审查后，确定参加磋商的供应商名单。</w:t>
      </w:r>
    </w:p>
    <w:p w14:paraId="04767C56">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符合性审查标准见下表：</w:t>
      </w:r>
    </w:p>
    <w:p w14:paraId="0B3E3D19">
      <w:pPr>
        <w:pStyle w:val="13"/>
        <w:keepNext w:val="0"/>
        <w:keepLines w:val="0"/>
        <w:pageBreakBefore w:val="0"/>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tbl>
      <w:tblPr>
        <w:tblStyle w:val="10"/>
        <w:tblW w:w="9432" w:type="dxa"/>
        <w:tblInd w:w="-47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3"/>
        <w:gridCol w:w="1595"/>
        <w:gridCol w:w="5297"/>
        <w:gridCol w:w="1797"/>
      </w:tblGrid>
      <w:tr w14:paraId="5F19ED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vAlign w:val="center"/>
          </w:tcPr>
          <w:p w14:paraId="1067D27D">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595" w:type="dxa"/>
            <w:vAlign w:val="center"/>
          </w:tcPr>
          <w:p w14:paraId="1118BCF2">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审查内容</w:t>
            </w:r>
          </w:p>
        </w:tc>
        <w:tc>
          <w:tcPr>
            <w:tcW w:w="5297" w:type="dxa"/>
            <w:vAlign w:val="center"/>
          </w:tcPr>
          <w:p w14:paraId="521D86A2">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具体标准和要求</w:t>
            </w:r>
          </w:p>
        </w:tc>
        <w:tc>
          <w:tcPr>
            <w:tcW w:w="1797" w:type="dxa"/>
            <w:vAlign w:val="center"/>
          </w:tcPr>
          <w:p w14:paraId="28A6C9A8">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关联投标（响应）文件格式文件</w:t>
            </w:r>
          </w:p>
        </w:tc>
      </w:tr>
      <w:tr w14:paraId="6E0803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vAlign w:val="center"/>
          </w:tcPr>
          <w:p w14:paraId="0CD246D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595" w:type="dxa"/>
            <w:vAlign w:val="center"/>
          </w:tcPr>
          <w:p w14:paraId="4A9F26C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不正当竞争预防措施（实质性要求）</w:t>
            </w:r>
          </w:p>
        </w:tc>
        <w:tc>
          <w:tcPr>
            <w:tcW w:w="5297" w:type="dxa"/>
            <w:vAlign w:val="center"/>
          </w:tcPr>
          <w:p w14:paraId="7AFB6CC0">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1.根据《财政部关于推动解决政府采购异常低价问题的通知》（财库〔2026〕2 号）相关规定，政府采购评审中出现下列情形之一的，评审委员会应当启动异常低价投标（响应）审查程序：1.1投标（响应）报价低于全部通过符合性审查供应商投标（响应）报价平均值50%的，即投标（响应）报价&lt;全部通过符合性审查供应商投标（响应）报价平均值×50%；1.2投标（响应）报价低于通过符合性审查的次低报价供应商投标（响应）报价50%的，即投标（响应）报价&lt;通过符合性审查的次低报价供应商投标（响应）报价×50%；1.3投标（响应）报价低于采购项目最高限价45%的，即投标（响应）报价&lt;采购项目最高限价×45%；1.4评审委员会基于专业判断，认为供应商报价过低，有可能影响产品质量或者不能诚信履约的其他情形。 2.在磋商过程中，磋商小组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3.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c>
          <w:tcPr>
            <w:tcW w:w="1797" w:type="dxa"/>
            <w:vAlign w:val="center"/>
          </w:tcPr>
          <w:p w14:paraId="398511F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分项报价表 标的清单 报价表</w:t>
            </w:r>
          </w:p>
        </w:tc>
      </w:tr>
      <w:tr w14:paraId="47C206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vAlign w:val="center"/>
          </w:tcPr>
          <w:p w14:paraId="4E75C378">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595" w:type="dxa"/>
            <w:vAlign w:val="center"/>
          </w:tcPr>
          <w:p w14:paraId="7B7D6133">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供应商名称</w:t>
            </w:r>
          </w:p>
        </w:tc>
        <w:tc>
          <w:tcPr>
            <w:tcW w:w="5297" w:type="dxa"/>
            <w:vAlign w:val="center"/>
          </w:tcPr>
          <w:p w14:paraId="2B2D4EC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供应商名称应与获取竞争性磋商文件的单位名称一致。</w:t>
            </w:r>
          </w:p>
        </w:tc>
        <w:tc>
          <w:tcPr>
            <w:tcW w:w="1797" w:type="dxa"/>
            <w:vAlign w:val="center"/>
          </w:tcPr>
          <w:p w14:paraId="2448EB5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响应文件封面 标的清单 响应函</w:t>
            </w:r>
          </w:p>
        </w:tc>
      </w:tr>
      <w:tr w14:paraId="757D17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vAlign w:val="center"/>
          </w:tcPr>
          <w:p w14:paraId="47DFA70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595" w:type="dxa"/>
            <w:vAlign w:val="center"/>
          </w:tcPr>
          <w:p w14:paraId="0161C57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响应文件格式编制</w:t>
            </w:r>
          </w:p>
        </w:tc>
        <w:tc>
          <w:tcPr>
            <w:tcW w:w="5297" w:type="dxa"/>
            <w:vAlign w:val="center"/>
          </w:tcPr>
          <w:p w14:paraId="6E94224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除明确允许供应商可以自行编写的外，竞争性磋商响应文件应按照竞争性磋商文件给定的格式编制。</w:t>
            </w:r>
          </w:p>
        </w:tc>
        <w:tc>
          <w:tcPr>
            <w:tcW w:w="1797" w:type="dxa"/>
            <w:vAlign w:val="center"/>
          </w:tcPr>
          <w:p w14:paraId="7E9F199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服务条款响应偏离表 资格证明文件 法定代表人授权委托书 供应商参与政府采购活动的承诺函 分项报价表 承诺书 标的清单 拒绝政府采购领域商业贿赂承诺书 响应函 商务条款响应偏离表</w:t>
            </w:r>
          </w:p>
        </w:tc>
      </w:tr>
      <w:tr w14:paraId="431D45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vAlign w:val="center"/>
          </w:tcPr>
          <w:p w14:paraId="7493E542">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595" w:type="dxa"/>
            <w:vAlign w:val="center"/>
          </w:tcPr>
          <w:p w14:paraId="3A67BAA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盖章签字</w:t>
            </w:r>
          </w:p>
        </w:tc>
        <w:tc>
          <w:tcPr>
            <w:tcW w:w="5297" w:type="dxa"/>
            <w:vAlign w:val="center"/>
          </w:tcPr>
          <w:p w14:paraId="6A06B22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竞争性磋商响应文件应按照竞争性磋商文件的要求盖章签字。</w:t>
            </w:r>
          </w:p>
        </w:tc>
        <w:tc>
          <w:tcPr>
            <w:tcW w:w="1797" w:type="dxa"/>
            <w:vAlign w:val="center"/>
          </w:tcPr>
          <w:p w14:paraId="682A1B6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响应文件封面 服务条款响应偏离表 资格证明文件 法定代表人授权委托书 分项报价表 供应商参与政府采购活动的承诺函 承诺书 标的清单 拒绝政府采购领域商业贿赂承诺书 响应函 商务条款响应偏离表</w:t>
            </w:r>
          </w:p>
        </w:tc>
      </w:tr>
      <w:tr w14:paraId="11CC10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vAlign w:val="center"/>
          </w:tcPr>
          <w:p w14:paraId="4D8A74E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595" w:type="dxa"/>
            <w:vAlign w:val="center"/>
          </w:tcPr>
          <w:p w14:paraId="01703CE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磋商报价</w:t>
            </w:r>
          </w:p>
        </w:tc>
        <w:tc>
          <w:tcPr>
            <w:tcW w:w="5297" w:type="dxa"/>
            <w:vAlign w:val="center"/>
          </w:tcPr>
          <w:p w14:paraId="12CA94A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磋商报价未超过最高限价。</w:t>
            </w:r>
          </w:p>
        </w:tc>
        <w:tc>
          <w:tcPr>
            <w:tcW w:w="1797" w:type="dxa"/>
            <w:vAlign w:val="center"/>
          </w:tcPr>
          <w:p w14:paraId="51AE6D4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分项报价表 标的清单</w:t>
            </w:r>
          </w:p>
        </w:tc>
      </w:tr>
      <w:tr w14:paraId="018380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vAlign w:val="center"/>
          </w:tcPr>
          <w:p w14:paraId="364BD5C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1595" w:type="dxa"/>
            <w:vAlign w:val="center"/>
          </w:tcPr>
          <w:p w14:paraId="48F4991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磋商有效期</w:t>
            </w:r>
          </w:p>
        </w:tc>
        <w:tc>
          <w:tcPr>
            <w:tcW w:w="5297" w:type="dxa"/>
            <w:vAlign w:val="center"/>
          </w:tcPr>
          <w:p w14:paraId="3FEF2709">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磋商有效期应符合竞争性磋商文件的要求。</w:t>
            </w:r>
          </w:p>
        </w:tc>
        <w:tc>
          <w:tcPr>
            <w:tcW w:w="1797" w:type="dxa"/>
            <w:vAlign w:val="center"/>
          </w:tcPr>
          <w:p w14:paraId="09A845B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响应函</w:t>
            </w:r>
          </w:p>
        </w:tc>
      </w:tr>
      <w:tr w14:paraId="4C354E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vAlign w:val="center"/>
          </w:tcPr>
          <w:p w14:paraId="1BE05F5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1595" w:type="dxa"/>
            <w:vAlign w:val="center"/>
          </w:tcPr>
          <w:p w14:paraId="3DF4E2FE">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商务响应</w:t>
            </w:r>
          </w:p>
        </w:tc>
        <w:tc>
          <w:tcPr>
            <w:tcW w:w="5297" w:type="dxa"/>
            <w:vAlign w:val="center"/>
          </w:tcPr>
          <w:p w14:paraId="54E722AD">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对竞争性磋商文件商务要求是否作出明确且实质性响应。</w:t>
            </w:r>
          </w:p>
        </w:tc>
        <w:tc>
          <w:tcPr>
            <w:tcW w:w="1797" w:type="dxa"/>
            <w:vAlign w:val="center"/>
          </w:tcPr>
          <w:p w14:paraId="7B8FE58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商务条款响应偏离表</w:t>
            </w:r>
          </w:p>
        </w:tc>
      </w:tr>
      <w:tr w14:paraId="612785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vAlign w:val="center"/>
          </w:tcPr>
          <w:p w14:paraId="29D9470E">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1595" w:type="dxa"/>
            <w:vAlign w:val="center"/>
          </w:tcPr>
          <w:p w14:paraId="31B8BBA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服务内容和要求响应</w:t>
            </w:r>
          </w:p>
        </w:tc>
        <w:tc>
          <w:tcPr>
            <w:tcW w:w="5297" w:type="dxa"/>
            <w:vAlign w:val="center"/>
          </w:tcPr>
          <w:p w14:paraId="05871B8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对竞争性磋商文件服务内容和要求是否作出明确响应。</w:t>
            </w:r>
          </w:p>
        </w:tc>
        <w:tc>
          <w:tcPr>
            <w:tcW w:w="1797" w:type="dxa"/>
            <w:vAlign w:val="center"/>
          </w:tcPr>
          <w:p w14:paraId="70E4CE1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服务条款响应偏离表</w:t>
            </w:r>
          </w:p>
        </w:tc>
      </w:tr>
      <w:tr w14:paraId="771E02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vAlign w:val="center"/>
          </w:tcPr>
          <w:p w14:paraId="4F0757AC">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1595" w:type="dxa"/>
            <w:vAlign w:val="center"/>
          </w:tcPr>
          <w:p w14:paraId="01E03CB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采购人不能接受的附加条件</w:t>
            </w:r>
          </w:p>
        </w:tc>
        <w:tc>
          <w:tcPr>
            <w:tcW w:w="5297" w:type="dxa"/>
            <w:vAlign w:val="center"/>
          </w:tcPr>
          <w:p w14:paraId="1DFADA58">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竞争性磋商响应文件未含有采购人不能接受的附加条件。</w:t>
            </w:r>
          </w:p>
        </w:tc>
        <w:tc>
          <w:tcPr>
            <w:tcW w:w="1797" w:type="dxa"/>
            <w:vAlign w:val="center"/>
          </w:tcPr>
          <w:p w14:paraId="0E40592C">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供应商认为有必要说明的事宜 服务方案</w:t>
            </w:r>
          </w:p>
        </w:tc>
      </w:tr>
      <w:tr w14:paraId="1D6C83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vAlign w:val="center"/>
          </w:tcPr>
          <w:p w14:paraId="59E80CAE">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10</w:t>
            </w:r>
          </w:p>
        </w:tc>
        <w:tc>
          <w:tcPr>
            <w:tcW w:w="1595" w:type="dxa"/>
            <w:vAlign w:val="center"/>
          </w:tcPr>
          <w:p w14:paraId="7A76078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其他无效响应情形</w:t>
            </w:r>
          </w:p>
        </w:tc>
        <w:tc>
          <w:tcPr>
            <w:tcW w:w="5297" w:type="dxa"/>
            <w:vAlign w:val="center"/>
          </w:tcPr>
          <w:p w14:paraId="35DB593E">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无法律、法规和磋商文件规定的其他无效响应情形。</w:t>
            </w:r>
          </w:p>
        </w:tc>
        <w:tc>
          <w:tcPr>
            <w:tcW w:w="1797" w:type="dxa"/>
            <w:vAlign w:val="center"/>
          </w:tcPr>
          <w:p w14:paraId="7D668201">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供应商认为有必要说明的事宜 服务方案</w:t>
            </w:r>
          </w:p>
        </w:tc>
      </w:tr>
    </w:tbl>
    <w:p w14:paraId="2ECBB7C4">
      <w:pPr>
        <w:pStyle w:val="13"/>
        <w:keepNext w:val="0"/>
        <w:keepLines w:val="0"/>
        <w:pageBreakBefore w:val="0"/>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6.3.3磋商</w:t>
      </w:r>
    </w:p>
    <w:p w14:paraId="5B753C34">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 磋商小组按照磋商文件的规定与邀请参加磋商的供应商分别进行磋商，磋商顺序由磋商小组确定。</w:t>
      </w:r>
    </w:p>
    <w:p w14:paraId="029052E8">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 磋商小组所有成员集中与单一供应商对技术、服务、合同条款等内容分别进行一轮或多轮的磋商。在磋商中，磋商的任何一方不得透露与磋商有关的其他供应商的技术资料、价格和其他信息。</w:t>
      </w:r>
    </w:p>
    <w:p w14:paraId="0F538B97">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磋商小组可以根据磋商文件和磋商情况实质性变动第三章“磋商项目技术、服务、商务及其他要求”、第八章“拟签订采购合同文本”，但不得变动磋商文件中的其他内容。实质性变动的内容，须经采购人代表确认。</w:t>
      </w:r>
    </w:p>
    <w:p w14:paraId="5429B21B">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 对磋商文件作出的实质性变动是磋商文件的有效组成部分，磋商小组应通过项目电子化交易系统，将变动情况同时通知所有参加磋商的供应商。磋商过程中，磋商小组可以根据磋商情况调整磋商轮次。</w:t>
      </w:r>
    </w:p>
    <w:p w14:paraId="5CBE643F">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 磋商过程中，磋商文件变动的，供应商应当按照磋商文件的变动情况和磋商小组的要求就磋商文件变动部分，以“供应商响应表”形式在线提交磋商小组。“供应商响应表”作为响应文件的组成部分，响应文件应加盖供应商（法定名称）电子印章，否则无效。</w:t>
      </w:r>
    </w:p>
    <w:p w14:paraId="5A404241">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六、经最终磋商后，响应文件仍有下列情况之一的，应按照无效响应处理：</w:t>
      </w:r>
    </w:p>
    <w:p w14:paraId="5593F659">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（一）响应文件仍不能实质响应磋商文件可实质性变动的实质性要求的；</w:t>
      </w:r>
    </w:p>
    <w:p w14:paraId="0BC3AA46">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（二）响应文件中仍有磋商文件规定的其他无效响应情形的。</w:t>
      </w:r>
    </w:p>
    <w:p w14:paraId="3AD5EC5E">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七、磋商小组对供应商在磋商、评审过程中的书面交换材料，未按要求加盖电子印章或签字的，视同未提交书面交换材料。</w:t>
      </w:r>
    </w:p>
    <w:p w14:paraId="665C7E62">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八、磋商小组在最终磋商后，对所有响应文件的有效性、完整性和响应程度进行审查后，确定最后报价的供应商名单。</w:t>
      </w:r>
    </w:p>
    <w:p w14:paraId="0467BED9">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九、磋商过程中，磋商的任何一方不得透露与磋商有关的其他供应商的技术资料、价格和其他信息。</w:t>
      </w:r>
    </w:p>
    <w:p w14:paraId="08F80A2E">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十、磋商过程中，磋商小组发现或者知晓供应商存在违法行为的，应当磋商报告中予以记录，并向本级财政部门报告，依法应将该供应商响应文件作无效处理的，应当作无效处理。</w:t>
      </w:r>
    </w:p>
    <w:p w14:paraId="0E8B0C3B">
      <w:pPr>
        <w:pStyle w:val="13"/>
        <w:keepNext w:val="0"/>
        <w:keepLines w:val="0"/>
        <w:pageBreakBefore w:val="0"/>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6.3.4最后报价</w:t>
      </w:r>
    </w:p>
    <w:p w14:paraId="28129F4C">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一、方案评审</w:t>
      </w:r>
    </w:p>
    <w:p w14:paraId="3D9DF943">
      <w:pPr>
        <w:pStyle w:val="13"/>
        <w:keepNext w:val="0"/>
        <w:keepLines w:val="0"/>
        <w:pageBreakBefore w:val="0"/>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磋商/谈判/协商文件能够详细列明采购标的的技术、服务要求，磋商/谈判/协商结束后，磋商/谈判/协商小组可以根据磋商/谈判/协商情况要求所有实质性响应的供应商在规定时间内提交最后报价，提交最后报价的供应商不得少于3家。</w:t>
      </w:r>
    </w:p>
    <w:p w14:paraId="447A2113">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二、磋商小组开启报价后，供应商应随时关注项目电子化交易系统信息提醒，登录项目电子化交易系统，通过“评审等候大厅”进行报价并签章后提交。</w:t>
      </w:r>
    </w:p>
    <w:p w14:paraId="3A8FDFBB">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三、供应商在未提高响应文件中承诺的标准情况下，其最后报价不得高于对该项目之前的报价，否则，磋商小组将对其响应文件作无效处理，并通过电子化交易系统告知供应商，说明理由。</w:t>
      </w:r>
    </w:p>
    <w:p w14:paraId="5A596F71">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四、供应商最后报价属于明显低价不正当竞争的，磋商小组应按照“供应商须知前附表”第8项规定处理。</w:t>
      </w:r>
    </w:p>
    <w:p w14:paraId="6B355EE1">
      <w:pPr>
        <w:pStyle w:val="13"/>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hint="eastAsia" w:ascii="仿宋" w:hAnsi="仿宋" w:eastAsia="仿宋" w:cs="仿宋"/>
          <w:sz w:val="24"/>
          <w:szCs w:val="24"/>
        </w:rPr>
      </w:pPr>
      <w:r>
        <w:rPr>
          <w:rFonts w:hint="eastAsia" w:ascii="仿宋" w:hAnsi="仿宋" w:eastAsia="仿宋" w:cs="仿宋"/>
          <w:sz w:val="24"/>
          <w:szCs w:val="24"/>
        </w:rPr>
        <w:t>五、供应商未在响应文件提交截止时间内提交报价或未按要求进行报价的，视为无效响应，由供应商自行承担不利后果。</w:t>
      </w:r>
    </w:p>
    <w:p w14:paraId="57AE7FEB">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六、供应商未按磋商小组要求在规定时间内提交最后报价的，视为其退出磋商。</w:t>
      </w:r>
    </w:p>
    <w:p w14:paraId="110B0410">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七、最后报价一旦提交后，供应商不得以任何理由撤回。</w:t>
      </w:r>
    </w:p>
    <w:p w14:paraId="1A1D87D2">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八、最后报价为有效报价应符合下列条件：</w:t>
      </w:r>
    </w:p>
    <w:p w14:paraId="2F8198D6">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（一）供应商所提供的最后报价是在规定的时间内提交。</w:t>
      </w:r>
    </w:p>
    <w:p w14:paraId="00941BA3">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（二）供应商的最后报价应加盖供应商（法定名称）电子印章。</w:t>
      </w:r>
    </w:p>
    <w:p w14:paraId="7DD3CE1B">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（三）供应商的最后报价应符合磋商文件的要求。</w:t>
      </w:r>
    </w:p>
    <w:p w14:paraId="75226E10">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（四）最后报价唯一，且不高于最高限价。</w:t>
      </w:r>
    </w:p>
    <w:p w14:paraId="037BA046">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九、最后报价出现下列情况的，不需要供应商澄清，按以下原则处理：</w:t>
      </w:r>
    </w:p>
    <w:p w14:paraId="59871050">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（一）报价中的大写金额和小写金额不一致的，以大写金额为准，但大写金额出现文字错误，导致金额无法判断的除外；</w:t>
      </w:r>
    </w:p>
    <w:p w14:paraId="172D1E69">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（二）单价金额小数点或者百分比有明显错位的，应以总价为准，并修改单价；</w:t>
      </w:r>
    </w:p>
    <w:p w14:paraId="3B53BC65">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（三）总价金额与按单价汇总金额不一致的，以单价汇总金额计算结果为准；</w:t>
      </w:r>
    </w:p>
    <w:p w14:paraId="1A7B176A">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同时出现两种以上不一致的，按照前款规定的顺序修正。修正后的最后报价经加盖供应商（法定名称）电子印章后产生约束力，供应商不确认的，其最后报价无效。</w:t>
      </w:r>
    </w:p>
    <w:p w14:paraId="66039702">
      <w:pPr>
        <w:pStyle w:val="13"/>
        <w:keepNext w:val="0"/>
        <w:keepLines w:val="0"/>
        <w:pageBreakBefore w:val="0"/>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6.3.5解释、澄清有关问题</w:t>
      </w:r>
    </w:p>
    <w:p w14:paraId="70D4A0D3">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评审过程中，磋商小组认为磋商文件有关事项表述不明确或需要说明的，可以提请代理机构书面解释。代理机构的解释不得改变磋商文件的原义或者影响公平、公正，解释事项如果涉及供应商权益的以有利于供应商的原则进行解释。</w:t>
      </w:r>
    </w:p>
    <w:p w14:paraId="62BDD39A">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对响应文件中含义不明确、同类问题表述不一致或者有明显文字和计算错误的内容，磋商小组应当要求供应商作出必要的澄清、说明或者更正，并给予供应商必要的反馈时间。供应商应当按磋商小组的要求进行澄清、说明或者更正。供应商的澄清、说明或者更正不得超出响应文件的范围或者改变响应文件的实质性内容。澄清不影响响应文件的效力，有效的澄清、说明或者更正材料是响应文件的组成部分。</w:t>
      </w:r>
    </w:p>
    <w:p w14:paraId="2D3AD17D">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供应商的澄清、说明或者更正需进行电子签章，应当不超出响应文件的范围、不实质性改变响应文件的内容、不影响供应商的公平竞争、不导致响应文件从不响应磋商文件变为响应磋商文件的条件。下列内容不得澄清：</w:t>
      </w:r>
    </w:p>
    <w:p w14:paraId="42CBF6A6">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（一）供应商响应文件中不响应磋商文件规定的技术参数指标和商务应答；</w:t>
      </w:r>
    </w:p>
    <w:p w14:paraId="202707A2">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（二）供应商响应文件中未提供的证明其是否符合磋商文件资格、符合性规定要求的相关材料；</w:t>
      </w:r>
    </w:p>
    <w:p w14:paraId="187EB4B1">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（三）供应商响应文件中的材料因印刷、影印等不清晰而难以辨认的。</w:t>
      </w:r>
    </w:p>
    <w:p w14:paraId="58E0F223">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四、响应文件报价出现前后不一致的情形，按照本章前述规定予以处理，不需要供应商澄清。</w:t>
      </w:r>
    </w:p>
    <w:p w14:paraId="291CF2A7">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五、代理机构宣布评审结束之前，供应商应通过项目电子化交易系统随时关注评审消息提示，及时响应磋商小组发出的澄清、说明或更正要求。供应商未能及时响应的，自行承担不利后果。</w:t>
      </w:r>
    </w:p>
    <w:p w14:paraId="379AED32">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六、磋商小组应当积极履行澄清、说明或者更正的职责，不得滥用权力。</w:t>
      </w:r>
    </w:p>
    <w:p w14:paraId="6816DF6B">
      <w:pPr>
        <w:pStyle w:val="13"/>
        <w:keepNext w:val="0"/>
        <w:keepLines w:val="0"/>
        <w:pageBreakBefore w:val="0"/>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6.3.6比较与评价</w:t>
      </w:r>
    </w:p>
    <w:p w14:paraId="14DA1EFA">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磋商小组应当按照磋商文件规定的评标细则及标准，对符合性检查合格的响应文件进行商务和技术评估，综合比较和评价。</w:t>
      </w:r>
    </w:p>
    <w:p w14:paraId="0666BA4A">
      <w:pPr>
        <w:pStyle w:val="13"/>
        <w:keepNext w:val="0"/>
        <w:keepLines w:val="0"/>
        <w:pageBreakBefore w:val="0"/>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 xml:space="preserve"> 6.3.7复核</w:t>
      </w:r>
    </w:p>
    <w:p w14:paraId="2F16E27F">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评审结束后，磋商小组应当进行复核，特别要对拟推荐为成交候选供应商的、报价最低的、响应文件被认定为无效的进行重点复核。</w:t>
      </w:r>
    </w:p>
    <w:p w14:paraId="32F3FAC5">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评审结果汇总完成后，磋商小组拟出具磋商报告前，代理机构应当组织2名以上的工作人员，在采购现场监督人员的监督之下，依据有关的法律制度和磋商文件对评审结果进行复核，出具复核报告。代理机构复核过程中，磋商小组成员不得离开评审现场。</w:t>
      </w:r>
    </w:p>
    <w:p w14:paraId="2CD85634">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除资格检查认定错误、分值汇总计算错误、分项评分超出评分标准范围、客观评分不一致、经磋商小组一致认定评分畸高、畸低的情形外，采购人或者代理机构不得以任何理由组织重新评审。采购人、代理机构发现磋商小组未按照磋商文件规定的评审标准进行评审的，应当重新开展采购活动，并同时书面报告本级财政部门。</w:t>
      </w:r>
    </w:p>
    <w:p w14:paraId="2F7D76FB">
      <w:pPr>
        <w:pStyle w:val="13"/>
        <w:keepNext w:val="0"/>
        <w:keepLines w:val="0"/>
        <w:pageBreakBefore w:val="0"/>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6.3.8推荐成交候选供应商</w:t>
      </w:r>
    </w:p>
    <w:p w14:paraId="021D1603">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磋商小组应当根据综合评分情况，按照评审得分由高到低顺序推荐如下成交候选供应商，并编写磋商报告。</w:t>
      </w:r>
    </w:p>
    <w:p w14:paraId="619ABD87">
      <w:pPr>
        <w:pStyle w:val="13"/>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采购包1：3家；评审得分相同的，按照最后报价由低到高的顺序推荐。评审得分且最后报价相同的，按照培训大纲方案优劣顺序推荐。评审得分且最后报价且培训大纲得分均相同的，成交候选供应商并列。</w:t>
      </w:r>
    </w:p>
    <w:p w14:paraId="5F100C64">
      <w:pPr>
        <w:pStyle w:val="13"/>
        <w:keepNext w:val="0"/>
        <w:keepLines w:val="0"/>
        <w:pageBreakBefore w:val="0"/>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6.3.9编写磋商报告</w:t>
      </w:r>
    </w:p>
    <w:p w14:paraId="55E1C0A1">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磋商小组推荐成交候选供应商后，应向代理机构出具磋商报告。磋商报告应当包括以下主要内容：</w:t>
      </w:r>
    </w:p>
    <w:p w14:paraId="38E44F5E">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（一）邀请供应商参加采购活动的具体方式和相关情况；</w:t>
      </w:r>
    </w:p>
    <w:p w14:paraId="5782536E">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（二）响应文件开启日期和地点；</w:t>
      </w:r>
    </w:p>
    <w:p w14:paraId="4727A2D6">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（三）获取磋商文件的供应商名单和磋商小组成员名单；</w:t>
      </w:r>
    </w:p>
    <w:p w14:paraId="5C3758F8">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（四）评审情况记录和说明，包括对供应商响应文件审查情况、磋商情况、报价情况等；</w:t>
      </w:r>
    </w:p>
    <w:p w14:paraId="3C6771D0">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（五）提出的成交候选供应商的排序名单及理由。</w:t>
      </w:r>
    </w:p>
    <w:p w14:paraId="0D2B92BA">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磋商报告应当由磋商小组全体人员签字或加盖电子签章认可。磋商小组成员对磋商报告有异议的，磋商小组按照少数服从多数的原则推荐成交候选供应商，采购程序继续进行。对磋商报告有异议的磋商小组成员，应当在报告上签署不同意见并说明理由，由磋商小组记录相关情况。磋商小组成员拒绝在磋商报告上签字或加盖电子签章又不书面说明其不同意见和理由的，视为同意磋商报告。</w:t>
      </w:r>
    </w:p>
    <w:p w14:paraId="0900EC26">
      <w:pPr>
        <w:pStyle w:val="13"/>
        <w:keepNext w:val="0"/>
        <w:keepLines w:val="0"/>
        <w:pageBreakBefore w:val="0"/>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6.3.10评审争议处理规则</w:t>
      </w:r>
    </w:p>
    <w:p w14:paraId="4B1F29C1">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在磋商过程中，对于符合性审查、对响应文件作无效响应处理的及其他需要共同认定的事项存在争议的，应当以少数服从多数的原则作出结论，但不得违背磋商文件规定。持不同意见的磋商小组成员应当在磋商报告中签署不同意见及理由，否则视为同意评审报告。持不同意见的磋商小组成员认为认定过程和结果不符合法律法规或者磋商文件规定的，应当及时向采购人或代理机构书面反映。采购人或代理机构收到书面反映后，应当书面报告采购项目同级财政部门依法处理。</w:t>
      </w:r>
    </w:p>
    <w:p w14:paraId="186BEE1C">
      <w:pPr>
        <w:pStyle w:val="13"/>
        <w:keepNext w:val="0"/>
        <w:keepLines w:val="0"/>
        <w:pageBreakBefore w:val="0"/>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43" w:name="_Toc1167"/>
      <w:r>
        <w:rPr>
          <w:rFonts w:hint="eastAsia" w:ascii="仿宋" w:hAnsi="仿宋" w:eastAsia="仿宋" w:cs="仿宋"/>
          <w:b/>
          <w:sz w:val="24"/>
          <w:szCs w:val="24"/>
        </w:rPr>
        <w:t>6.4评审办法及标准</w:t>
      </w:r>
      <w:bookmarkEnd w:id="43"/>
    </w:p>
    <w:p w14:paraId="7D85B6EB">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一、磋商小组只对通过资格审查的响应文件，根据磋商文件的要求采用相同的评审程序、评分办法及标准进行评价和比较。</w:t>
      </w:r>
    </w:p>
    <w:p w14:paraId="0707BC6D">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二、磋商小组成员应依据磋商文件规定的评分标准和方法独立对每个有效响应的文件进行评价、打分，然后汇总每个供应商每项评分因素的得分。</w:t>
      </w:r>
    </w:p>
    <w:p w14:paraId="1B2E786C">
      <w:pPr>
        <w:pStyle w:val="13"/>
        <w:keepNext w:val="0"/>
        <w:keepLines w:val="0"/>
        <w:pageBreakBefore w:val="0"/>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6.4.1评分办法</w:t>
      </w:r>
    </w:p>
    <w:p w14:paraId="4BDE0FC0">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本次评审采用综合评分法，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2770A64A">
      <w:pPr>
        <w:pStyle w:val="13"/>
        <w:keepNext w:val="0"/>
        <w:keepLines w:val="0"/>
        <w:pageBreakBefore w:val="0"/>
        <w:kinsoku/>
        <w:wordWrap/>
        <w:overflowPunct/>
        <w:topLinePunct w:val="0"/>
        <w:autoSpaceDE/>
        <w:autoSpaceDN/>
        <w:bidi w:val="0"/>
        <w:adjustRightInd/>
        <w:snapToGrid/>
        <w:spacing w:line="4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6.4.2评分标准</w:t>
      </w:r>
    </w:p>
    <w:p w14:paraId="1E3C9C33">
      <w:pPr>
        <w:pStyle w:val="13"/>
        <w:keepNext w:val="0"/>
        <w:keepLines w:val="0"/>
        <w:pageBreakBefore w:val="0"/>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tbl>
      <w:tblPr>
        <w:tblStyle w:val="10"/>
        <w:tblW w:w="9310" w:type="dxa"/>
        <w:tblInd w:w="-38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67"/>
        <w:gridCol w:w="1243"/>
        <w:gridCol w:w="3581"/>
        <w:gridCol w:w="1068"/>
        <w:gridCol w:w="932"/>
        <w:gridCol w:w="1419"/>
      </w:tblGrid>
      <w:tr w14:paraId="309CEF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10" w:type="dxa"/>
            <w:gridSpan w:val="2"/>
            <w:vAlign w:val="center"/>
          </w:tcPr>
          <w:p w14:paraId="709C014B">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评审内容</w:t>
            </w:r>
          </w:p>
        </w:tc>
        <w:tc>
          <w:tcPr>
            <w:tcW w:w="7000" w:type="dxa"/>
            <w:gridSpan w:val="4"/>
            <w:vAlign w:val="center"/>
          </w:tcPr>
          <w:p w14:paraId="077F8D85">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评审标准</w:t>
            </w:r>
          </w:p>
        </w:tc>
      </w:tr>
      <w:tr w14:paraId="38E6B6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10" w:type="dxa"/>
            <w:gridSpan w:val="2"/>
            <w:vAlign w:val="center"/>
          </w:tcPr>
          <w:p w14:paraId="3915E6EF">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分值构成</w:t>
            </w:r>
          </w:p>
        </w:tc>
        <w:tc>
          <w:tcPr>
            <w:tcW w:w="7000" w:type="dxa"/>
            <w:gridSpan w:val="4"/>
            <w:vAlign w:val="center"/>
          </w:tcPr>
          <w:p w14:paraId="77EE1C20">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详细评审90.00分</w:t>
            </w:r>
          </w:p>
          <w:p w14:paraId="6DA9D55E">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报价得分10.00分</w:t>
            </w:r>
          </w:p>
        </w:tc>
      </w:tr>
      <w:tr w14:paraId="5DE19F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Align w:val="center"/>
          </w:tcPr>
          <w:p w14:paraId="2E043DBD">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评审因素分类</w:t>
            </w:r>
          </w:p>
        </w:tc>
        <w:tc>
          <w:tcPr>
            <w:tcW w:w="1243" w:type="dxa"/>
            <w:vAlign w:val="center"/>
          </w:tcPr>
          <w:p w14:paraId="39A0A44C">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评审内容</w:t>
            </w:r>
          </w:p>
        </w:tc>
        <w:tc>
          <w:tcPr>
            <w:tcW w:w="3581" w:type="dxa"/>
            <w:vAlign w:val="center"/>
          </w:tcPr>
          <w:p w14:paraId="208E6E1E">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具体标准和要求</w:t>
            </w:r>
          </w:p>
        </w:tc>
        <w:tc>
          <w:tcPr>
            <w:tcW w:w="1068" w:type="dxa"/>
            <w:vAlign w:val="center"/>
          </w:tcPr>
          <w:p w14:paraId="6B1C1631">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分值</w:t>
            </w:r>
          </w:p>
        </w:tc>
        <w:tc>
          <w:tcPr>
            <w:tcW w:w="932" w:type="dxa"/>
            <w:vAlign w:val="center"/>
          </w:tcPr>
          <w:p w14:paraId="4A9CC3DE">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客观/主观</w:t>
            </w:r>
          </w:p>
        </w:tc>
        <w:tc>
          <w:tcPr>
            <w:tcW w:w="1419" w:type="dxa"/>
            <w:vAlign w:val="center"/>
          </w:tcPr>
          <w:p w14:paraId="779ADC4C">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关联投标（响应）文件格式文件</w:t>
            </w:r>
          </w:p>
        </w:tc>
      </w:tr>
      <w:tr w14:paraId="08DFC0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restart"/>
            <w:vAlign w:val="center"/>
          </w:tcPr>
          <w:p w14:paraId="244A929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详细评审</w:t>
            </w:r>
          </w:p>
        </w:tc>
        <w:tc>
          <w:tcPr>
            <w:tcW w:w="1243" w:type="dxa"/>
            <w:vAlign w:val="center"/>
          </w:tcPr>
          <w:p w14:paraId="5899EC9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培训大纲</w:t>
            </w:r>
          </w:p>
        </w:tc>
        <w:tc>
          <w:tcPr>
            <w:tcW w:w="3581" w:type="dxa"/>
            <w:vAlign w:val="center"/>
          </w:tcPr>
          <w:p w14:paraId="7C9FEFD9">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针对本项目培训的实际需求，制作培训大纲方案，包括： ①培训需求分析； ②培训课程设置（要求课程设计新颖，互动性强，能够激发学习者兴趣）； ③培训形式(要求形式多样，不限于情景模拟或桌面推演等互动教学形式）； ④培训流程； ⑤培训实施计划； ⑥学员考勤方案； ⑦考核评估； ⑧培训的重点及难点。 评审标准：方案各部分内容全面详细、阐述条理清晰详尽、符合本项目采购需求得24分；评审内容每缺一项扣3分，扣完为止；评审内容有一项内容缺陷扣1分（缺陷是指：内容描述过于简单、条理不清晰、与项目内容不匹配、凭空编造、出现常识性错误、不可能实现的夸大情形、存在不适用项目实际情况的情形等）。</w:t>
            </w:r>
          </w:p>
        </w:tc>
        <w:tc>
          <w:tcPr>
            <w:tcW w:w="1068" w:type="dxa"/>
            <w:vAlign w:val="center"/>
          </w:tcPr>
          <w:p w14:paraId="2ED6A3CB">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24.0000</w:t>
            </w:r>
          </w:p>
        </w:tc>
        <w:tc>
          <w:tcPr>
            <w:tcW w:w="932" w:type="dxa"/>
            <w:vAlign w:val="center"/>
          </w:tcPr>
          <w:p w14:paraId="780E15D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主观</w:t>
            </w:r>
          </w:p>
        </w:tc>
        <w:tc>
          <w:tcPr>
            <w:tcW w:w="1419" w:type="dxa"/>
            <w:vAlign w:val="center"/>
          </w:tcPr>
          <w:p w14:paraId="668C861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服务方案</w:t>
            </w:r>
          </w:p>
        </w:tc>
      </w:tr>
      <w:tr w14:paraId="1C9277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vAlign w:val="center"/>
          </w:tcPr>
          <w:p w14:paraId="7FE4243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p>
        </w:tc>
        <w:tc>
          <w:tcPr>
            <w:tcW w:w="1243" w:type="dxa"/>
            <w:vAlign w:val="center"/>
          </w:tcPr>
          <w:p w14:paraId="0C8C891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服务保障措施</w:t>
            </w:r>
          </w:p>
        </w:tc>
        <w:tc>
          <w:tcPr>
            <w:tcW w:w="3581" w:type="dxa"/>
            <w:vAlign w:val="center"/>
          </w:tcPr>
          <w:p w14:paraId="33EDF54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针对本项目培训服务提供服务保障措施，包括： ①接待方案； ②质量保障措施（需包含车辆、人员、医疗应急等保障措施）； ③后勤保障措施（指学员食宿、交通、安全、卫生等服务保障）。 评审标准：方案各部分内容全面详细、阐述条理清晰详尽、符合本项目采购需求得6分；评审内容每缺一项扣2分，扣完为止；评审内容有一项内容缺陷扣1分（缺陷是指：内容描述过于简单、条理不清晰、与项目内容不匹配、凭空编造、出现常识性错误、不可能实现的夸大情形、存在不适用项目实际情况的情形等）。</w:t>
            </w:r>
          </w:p>
        </w:tc>
        <w:tc>
          <w:tcPr>
            <w:tcW w:w="1068" w:type="dxa"/>
            <w:vAlign w:val="center"/>
          </w:tcPr>
          <w:p w14:paraId="5DF9E2E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6.0000</w:t>
            </w:r>
          </w:p>
        </w:tc>
        <w:tc>
          <w:tcPr>
            <w:tcW w:w="932" w:type="dxa"/>
            <w:vAlign w:val="center"/>
          </w:tcPr>
          <w:p w14:paraId="05DB21B0">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主观</w:t>
            </w:r>
          </w:p>
        </w:tc>
        <w:tc>
          <w:tcPr>
            <w:tcW w:w="1419" w:type="dxa"/>
            <w:vAlign w:val="center"/>
          </w:tcPr>
          <w:p w14:paraId="0EB38CEB">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服务方案</w:t>
            </w:r>
          </w:p>
        </w:tc>
      </w:tr>
      <w:tr w14:paraId="539E79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vAlign w:val="center"/>
          </w:tcPr>
          <w:p w14:paraId="5291F7A0">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p>
        </w:tc>
        <w:tc>
          <w:tcPr>
            <w:tcW w:w="1243" w:type="dxa"/>
            <w:vAlign w:val="center"/>
          </w:tcPr>
          <w:p w14:paraId="2DFF0CE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应急管理措施</w:t>
            </w:r>
          </w:p>
        </w:tc>
        <w:tc>
          <w:tcPr>
            <w:tcW w:w="3581" w:type="dxa"/>
            <w:vAlign w:val="center"/>
          </w:tcPr>
          <w:p w14:paraId="4D0EDB9E">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针对本项目培训服务提供应急管理方案，包括： ①突发应急预案； ②详细的应急管理制度。 评审标准：方案各部分内容全面详细、阐述条理清晰详尽、符合本项目采购需求得6分；评审内容每缺一项扣3分，扣完为止；评审内容有一项内容缺陷扣1分（缺陷是指：内容描述过于简单、条理不清晰、与项目内容不匹配、凭空编造、出现常识性错误、不可能实现的夸大情形、存在不适用项目实际情况的情形等）。</w:t>
            </w:r>
          </w:p>
        </w:tc>
        <w:tc>
          <w:tcPr>
            <w:tcW w:w="1068" w:type="dxa"/>
            <w:vAlign w:val="center"/>
          </w:tcPr>
          <w:p w14:paraId="77E63FB9">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6.0000</w:t>
            </w:r>
          </w:p>
        </w:tc>
        <w:tc>
          <w:tcPr>
            <w:tcW w:w="932" w:type="dxa"/>
            <w:vAlign w:val="center"/>
          </w:tcPr>
          <w:p w14:paraId="403230B1">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主观</w:t>
            </w:r>
          </w:p>
        </w:tc>
        <w:tc>
          <w:tcPr>
            <w:tcW w:w="1419" w:type="dxa"/>
            <w:vAlign w:val="center"/>
          </w:tcPr>
          <w:p w14:paraId="20A616A3">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服务方案</w:t>
            </w:r>
          </w:p>
        </w:tc>
      </w:tr>
      <w:tr w14:paraId="1F5018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vAlign w:val="center"/>
          </w:tcPr>
          <w:p w14:paraId="1A1071F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p>
        </w:tc>
        <w:tc>
          <w:tcPr>
            <w:tcW w:w="1243" w:type="dxa"/>
            <w:vAlign w:val="center"/>
          </w:tcPr>
          <w:p w14:paraId="577408D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合理化建议</w:t>
            </w:r>
          </w:p>
        </w:tc>
        <w:tc>
          <w:tcPr>
            <w:tcW w:w="3581" w:type="dxa"/>
            <w:vAlign w:val="center"/>
          </w:tcPr>
          <w:p w14:paraId="7FE051B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针对本项目培训服务提出合理化建议，包括： ①如何保证项目顺利实施； ②如何提升培训质量。 评审标准：方案各部分内容全面详细、阐述条理清晰详尽、符合本项目采购需求得4分；评审内容每缺一项扣2分，扣完为止；评审内容有一项内容缺陷扣1分（缺陷是指：内容描述过于简单、条理不清晰、与项目内容不匹配、凭空编造、出现常识性错误、不可能实现的夸大情形、存在不适用项目实际情况的情形等）。</w:t>
            </w:r>
          </w:p>
        </w:tc>
        <w:tc>
          <w:tcPr>
            <w:tcW w:w="1068" w:type="dxa"/>
            <w:vAlign w:val="center"/>
          </w:tcPr>
          <w:p w14:paraId="6602A1F1">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4.0000</w:t>
            </w:r>
          </w:p>
        </w:tc>
        <w:tc>
          <w:tcPr>
            <w:tcW w:w="932" w:type="dxa"/>
            <w:vAlign w:val="center"/>
          </w:tcPr>
          <w:p w14:paraId="25D5C52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主观</w:t>
            </w:r>
          </w:p>
        </w:tc>
        <w:tc>
          <w:tcPr>
            <w:tcW w:w="1419" w:type="dxa"/>
            <w:vAlign w:val="center"/>
          </w:tcPr>
          <w:p w14:paraId="41F43DAD">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服务方案</w:t>
            </w:r>
          </w:p>
        </w:tc>
      </w:tr>
      <w:tr w14:paraId="3DD07A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vAlign w:val="center"/>
          </w:tcPr>
          <w:p w14:paraId="01109AF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p>
        </w:tc>
        <w:tc>
          <w:tcPr>
            <w:tcW w:w="1243" w:type="dxa"/>
            <w:vAlign w:val="center"/>
          </w:tcPr>
          <w:p w14:paraId="3231BF49">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住宿服务方案</w:t>
            </w:r>
          </w:p>
        </w:tc>
        <w:tc>
          <w:tcPr>
            <w:tcW w:w="3581" w:type="dxa"/>
            <w:vAlign w:val="center"/>
          </w:tcPr>
          <w:p w14:paraId="40533F0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针对本项目提供培训学员住宿服务方案，包括： ①住宿服务内容及服务标准（不限于住宿环境及取暖及降温设施、网络设备配备等方面）； ②封闭住宿管理方案； ③住宿卫生保障服务； ④住宿场地消防设备及消防措施。 评审标准：方案各部分内容全面详细、阐述条理清晰详尽、符合本项目采购需求得8分；评审内容每缺一项扣2分，扣完为止；评审内容有一项内容缺陷扣1分（缺陷是指：内容描述过于简单、条理不清晰、与项目内容不匹配、凭空编造、出现常识性错误、不可能实现的夸大情形、存在不适用项目实际情况的情形等）。</w:t>
            </w:r>
          </w:p>
        </w:tc>
        <w:tc>
          <w:tcPr>
            <w:tcW w:w="1068" w:type="dxa"/>
            <w:vAlign w:val="center"/>
          </w:tcPr>
          <w:p w14:paraId="680F6C0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8.0000</w:t>
            </w:r>
          </w:p>
        </w:tc>
        <w:tc>
          <w:tcPr>
            <w:tcW w:w="932" w:type="dxa"/>
            <w:vAlign w:val="center"/>
          </w:tcPr>
          <w:p w14:paraId="032BDCE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主观</w:t>
            </w:r>
          </w:p>
        </w:tc>
        <w:tc>
          <w:tcPr>
            <w:tcW w:w="1419" w:type="dxa"/>
            <w:vAlign w:val="center"/>
          </w:tcPr>
          <w:p w14:paraId="214DAB8C">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服务方案</w:t>
            </w:r>
          </w:p>
        </w:tc>
      </w:tr>
      <w:tr w14:paraId="7BFE3D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vAlign w:val="center"/>
          </w:tcPr>
          <w:p w14:paraId="2514FD6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p>
        </w:tc>
        <w:tc>
          <w:tcPr>
            <w:tcW w:w="1243" w:type="dxa"/>
            <w:vAlign w:val="center"/>
          </w:tcPr>
          <w:p w14:paraId="64E24B78">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教学场地</w:t>
            </w:r>
          </w:p>
        </w:tc>
        <w:tc>
          <w:tcPr>
            <w:tcW w:w="3581" w:type="dxa"/>
            <w:vAlign w:val="center"/>
          </w:tcPr>
          <w:p w14:paraId="0412D98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针对本项目提供满足项目需求的教学场地，包括： ①教学场地面积； ②多媒体设施； ③培训设备； ④教学场地消防设备及消防措施。 评审标准：方案各部分内容全面详细、阐述条理清晰详尽、符合本项目采购需求得8分；评审内容每缺一项扣2分，扣完为止；评审内容有一项内容缺陷扣1分（缺陷是指：内容描述过于简单、条理不清晰、与项目内容不匹配、凭空编造、出现常识性错误、不可能实现的夸大情形、存在不适用项目实际情况的情形等）。</w:t>
            </w:r>
          </w:p>
        </w:tc>
        <w:tc>
          <w:tcPr>
            <w:tcW w:w="1068" w:type="dxa"/>
            <w:vAlign w:val="center"/>
          </w:tcPr>
          <w:p w14:paraId="5A81F492">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8.0000</w:t>
            </w:r>
          </w:p>
        </w:tc>
        <w:tc>
          <w:tcPr>
            <w:tcW w:w="932" w:type="dxa"/>
            <w:vAlign w:val="center"/>
          </w:tcPr>
          <w:p w14:paraId="3A00563C">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主观</w:t>
            </w:r>
          </w:p>
        </w:tc>
        <w:tc>
          <w:tcPr>
            <w:tcW w:w="1419" w:type="dxa"/>
            <w:vAlign w:val="center"/>
          </w:tcPr>
          <w:p w14:paraId="6C6BD8F1">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服务方案</w:t>
            </w:r>
          </w:p>
        </w:tc>
      </w:tr>
      <w:tr w14:paraId="12EA09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vAlign w:val="center"/>
          </w:tcPr>
          <w:p w14:paraId="172174E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p>
        </w:tc>
        <w:tc>
          <w:tcPr>
            <w:tcW w:w="1243" w:type="dxa"/>
            <w:vAlign w:val="center"/>
          </w:tcPr>
          <w:p w14:paraId="42C9DF1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餐饮服务方案</w:t>
            </w:r>
          </w:p>
        </w:tc>
        <w:tc>
          <w:tcPr>
            <w:tcW w:w="3581" w:type="dxa"/>
            <w:vAlign w:val="center"/>
          </w:tcPr>
          <w:p w14:paraId="4279F25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针对本项目提供培训学员餐饮方案，包括： ①餐饮的标准、就餐的方式、食谱； ②餐饮安全管理制度； ③餐厅环境卫生管理制度； ④就餐的服务质量保障； ⑤餐饮从业人员配备（提供健康证）。 评审标准：方案各部分内容全面详细、阐述条理清晰详尽、符合本项目采购需求得10分；评审内容每缺一项扣2分，扣完为止；评审内容有一项内容缺陷扣1分（缺陷是指：内容描述过于简单、条理不清晰、与项目内容不匹配、凭空编造、出现常识性错误、不可能实现的夸大情形、存在不适用项目实际情况的情形等）。 注：如餐厅不具备或未在磋商响应文件中提供食品经营许可证（或相关部门备案）复印件，或者供应商未出具卫生承诺书（承诺餐厅卫生须符合国家卫生相关要求），按无效响应处理。</w:t>
            </w:r>
          </w:p>
        </w:tc>
        <w:tc>
          <w:tcPr>
            <w:tcW w:w="1068" w:type="dxa"/>
            <w:vAlign w:val="center"/>
          </w:tcPr>
          <w:p w14:paraId="55CF816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10.0000</w:t>
            </w:r>
          </w:p>
        </w:tc>
        <w:tc>
          <w:tcPr>
            <w:tcW w:w="932" w:type="dxa"/>
            <w:vAlign w:val="center"/>
          </w:tcPr>
          <w:p w14:paraId="2EA957CC">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主观</w:t>
            </w:r>
          </w:p>
        </w:tc>
        <w:tc>
          <w:tcPr>
            <w:tcW w:w="1419" w:type="dxa"/>
            <w:vAlign w:val="center"/>
          </w:tcPr>
          <w:p w14:paraId="0CCD1EAD">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服务方案</w:t>
            </w:r>
          </w:p>
        </w:tc>
      </w:tr>
      <w:tr w14:paraId="28D626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vAlign w:val="center"/>
          </w:tcPr>
          <w:p w14:paraId="0C33B023">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p>
        </w:tc>
        <w:tc>
          <w:tcPr>
            <w:tcW w:w="1243" w:type="dxa"/>
            <w:vAlign w:val="center"/>
          </w:tcPr>
          <w:p w14:paraId="1DF892F3">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服务人员配备</w:t>
            </w:r>
          </w:p>
        </w:tc>
        <w:tc>
          <w:tcPr>
            <w:tcW w:w="3581" w:type="dxa"/>
            <w:vAlign w:val="center"/>
          </w:tcPr>
          <w:p w14:paraId="1AEDB5D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针对本项目提供组织机构管理、服务人员配备，包括： ①项目管理组织机构； ②人员分工及岗位职责； ③团队稳定性。 评审标准：方案各部分内容全面详细、阐述条理清晰详尽、符合本项目采购需求得9分；评审内容每缺一项扣3分，扣完为止；评审内容有一项内容缺陷扣1分（缺陷是指：内容描述过于简单、条理不清晰、与项目内容不匹配、凭空编造、出现常识性错误、不可能实现的夸大情形、存在不适用项目实际情况的情形等）。</w:t>
            </w:r>
          </w:p>
        </w:tc>
        <w:tc>
          <w:tcPr>
            <w:tcW w:w="1068" w:type="dxa"/>
            <w:vAlign w:val="center"/>
          </w:tcPr>
          <w:p w14:paraId="3EA25AF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9.0000</w:t>
            </w:r>
          </w:p>
        </w:tc>
        <w:tc>
          <w:tcPr>
            <w:tcW w:w="932" w:type="dxa"/>
            <w:vAlign w:val="center"/>
          </w:tcPr>
          <w:p w14:paraId="5C51F0F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主观</w:t>
            </w:r>
          </w:p>
        </w:tc>
        <w:tc>
          <w:tcPr>
            <w:tcW w:w="1419" w:type="dxa"/>
            <w:vAlign w:val="center"/>
          </w:tcPr>
          <w:p w14:paraId="356D28A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服务方案</w:t>
            </w:r>
          </w:p>
        </w:tc>
      </w:tr>
      <w:tr w14:paraId="296486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vAlign w:val="center"/>
          </w:tcPr>
          <w:p w14:paraId="305C82E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p>
        </w:tc>
        <w:tc>
          <w:tcPr>
            <w:tcW w:w="1243" w:type="dxa"/>
            <w:vAlign w:val="center"/>
          </w:tcPr>
          <w:p w14:paraId="62885110">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师资力量</w:t>
            </w:r>
          </w:p>
        </w:tc>
        <w:tc>
          <w:tcPr>
            <w:tcW w:w="3581" w:type="dxa"/>
            <w:vAlign w:val="center"/>
          </w:tcPr>
          <w:p w14:paraId="40C06BAB">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根据本项目师资力量情况评审： 培训师资配备（要求每期配备正高级技术职称专业人员4名、副高级技术职称专业人员4名）； 评审标准：在此基础上每多一个正高级技术职称加2分，最高8分。 注：每个培训师必须附职称证书复印件、聘书（协议书）复印件并加盖供应商公章，不提供不得分。</w:t>
            </w:r>
          </w:p>
        </w:tc>
        <w:tc>
          <w:tcPr>
            <w:tcW w:w="1068" w:type="dxa"/>
            <w:vAlign w:val="center"/>
          </w:tcPr>
          <w:p w14:paraId="17524903">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8.0000</w:t>
            </w:r>
          </w:p>
        </w:tc>
        <w:tc>
          <w:tcPr>
            <w:tcW w:w="932" w:type="dxa"/>
            <w:vAlign w:val="center"/>
          </w:tcPr>
          <w:p w14:paraId="068DA39D">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客观</w:t>
            </w:r>
          </w:p>
        </w:tc>
        <w:tc>
          <w:tcPr>
            <w:tcW w:w="1419" w:type="dxa"/>
            <w:vAlign w:val="center"/>
          </w:tcPr>
          <w:p w14:paraId="27A80DE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服务方案</w:t>
            </w:r>
          </w:p>
        </w:tc>
      </w:tr>
      <w:tr w14:paraId="29D1E1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vAlign w:val="center"/>
          </w:tcPr>
          <w:p w14:paraId="0E02525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p>
        </w:tc>
        <w:tc>
          <w:tcPr>
            <w:tcW w:w="1243" w:type="dxa"/>
            <w:vAlign w:val="center"/>
          </w:tcPr>
          <w:p w14:paraId="6B76423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增值服务</w:t>
            </w:r>
          </w:p>
        </w:tc>
        <w:tc>
          <w:tcPr>
            <w:tcW w:w="3581" w:type="dxa"/>
            <w:vAlign w:val="center"/>
          </w:tcPr>
          <w:p w14:paraId="32F57852">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供应商根据自身情况，结合本项目服务内容所能做出的其他增值服务承诺。服务承诺可行性强，针对性强的得2分；服务承诺粗略空泛，与项目不匹配的得1分；未提供不得分。</w:t>
            </w:r>
          </w:p>
        </w:tc>
        <w:tc>
          <w:tcPr>
            <w:tcW w:w="1068" w:type="dxa"/>
            <w:vAlign w:val="center"/>
          </w:tcPr>
          <w:p w14:paraId="759DE95E">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2.0000</w:t>
            </w:r>
          </w:p>
        </w:tc>
        <w:tc>
          <w:tcPr>
            <w:tcW w:w="932" w:type="dxa"/>
            <w:vAlign w:val="center"/>
          </w:tcPr>
          <w:p w14:paraId="5473769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主观</w:t>
            </w:r>
          </w:p>
        </w:tc>
        <w:tc>
          <w:tcPr>
            <w:tcW w:w="1419" w:type="dxa"/>
            <w:vAlign w:val="center"/>
          </w:tcPr>
          <w:p w14:paraId="236D2778">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服务方案</w:t>
            </w:r>
          </w:p>
        </w:tc>
      </w:tr>
      <w:tr w14:paraId="420D7E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vAlign w:val="center"/>
          </w:tcPr>
          <w:p w14:paraId="6CBA7F2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p>
        </w:tc>
        <w:tc>
          <w:tcPr>
            <w:tcW w:w="1243" w:type="dxa"/>
            <w:vAlign w:val="center"/>
          </w:tcPr>
          <w:p w14:paraId="7AD2E51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业绩</w:t>
            </w:r>
          </w:p>
        </w:tc>
        <w:tc>
          <w:tcPr>
            <w:tcW w:w="3581" w:type="dxa"/>
            <w:vAlign w:val="center"/>
          </w:tcPr>
          <w:p w14:paraId="3267DCF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2023年1月至今承担的类似项目案例情况，有一个有效案例得1分，最高得5分。供应商提供项目的合同或协议复印件作为证明材料。</w:t>
            </w:r>
          </w:p>
        </w:tc>
        <w:tc>
          <w:tcPr>
            <w:tcW w:w="1068" w:type="dxa"/>
            <w:vAlign w:val="center"/>
          </w:tcPr>
          <w:p w14:paraId="5020C0B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5.0000</w:t>
            </w:r>
          </w:p>
        </w:tc>
        <w:tc>
          <w:tcPr>
            <w:tcW w:w="932" w:type="dxa"/>
            <w:vAlign w:val="center"/>
          </w:tcPr>
          <w:p w14:paraId="0920B07B">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客观</w:t>
            </w:r>
          </w:p>
        </w:tc>
        <w:tc>
          <w:tcPr>
            <w:tcW w:w="1419" w:type="dxa"/>
            <w:vAlign w:val="center"/>
          </w:tcPr>
          <w:p w14:paraId="73B28B9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业绩</w:t>
            </w:r>
          </w:p>
        </w:tc>
      </w:tr>
      <w:tr w14:paraId="77C386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Align w:val="center"/>
          </w:tcPr>
          <w:p w14:paraId="4B9BAE50">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异常低价审查</w:t>
            </w:r>
          </w:p>
        </w:tc>
        <w:tc>
          <w:tcPr>
            <w:tcW w:w="1243" w:type="dxa"/>
            <w:vAlign w:val="center"/>
          </w:tcPr>
          <w:p w14:paraId="76CF165B">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异常低价审查</w:t>
            </w:r>
          </w:p>
        </w:tc>
        <w:tc>
          <w:tcPr>
            <w:tcW w:w="3581" w:type="dxa"/>
            <w:vAlign w:val="center"/>
          </w:tcPr>
          <w:p w14:paraId="282AB34C">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1068" w:type="dxa"/>
            <w:vAlign w:val="center"/>
          </w:tcPr>
          <w:p w14:paraId="7E04904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0.0000</w:t>
            </w:r>
          </w:p>
        </w:tc>
        <w:tc>
          <w:tcPr>
            <w:tcW w:w="932" w:type="dxa"/>
            <w:vAlign w:val="center"/>
          </w:tcPr>
          <w:p w14:paraId="04FC4C88">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客观</w:t>
            </w:r>
          </w:p>
        </w:tc>
        <w:tc>
          <w:tcPr>
            <w:tcW w:w="1419" w:type="dxa"/>
            <w:vAlign w:val="center"/>
          </w:tcPr>
          <w:p w14:paraId="1B091797">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报价表</w:t>
            </w:r>
          </w:p>
          <w:p w14:paraId="2A306A99">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标的清单</w:t>
            </w:r>
          </w:p>
          <w:p w14:paraId="5D23E548">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分项报价表</w:t>
            </w:r>
          </w:p>
        </w:tc>
      </w:tr>
      <w:tr w14:paraId="3659F9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Align w:val="center"/>
          </w:tcPr>
          <w:p w14:paraId="11AB0533">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价格分</w:t>
            </w:r>
          </w:p>
        </w:tc>
        <w:tc>
          <w:tcPr>
            <w:tcW w:w="1243" w:type="dxa"/>
            <w:vAlign w:val="center"/>
          </w:tcPr>
          <w:p w14:paraId="559AF22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价格分</w:t>
            </w:r>
          </w:p>
        </w:tc>
        <w:tc>
          <w:tcPr>
            <w:tcW w:w="3581" w:type="dxa"/>
            <w:vAlign w:val="center"/>
          </w:tcPr>
          <w:p w14:paraId="6046242D">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按照财政部《政府采购竞争性磋商采购方式管理暂行办法》（财库[2014]214号）的有关规定：价格分统一采用低价优先法计算，即满足磋商文件要求且磋商价格最低的磋商报价为评标基准价，其价格分为满分。其他供应商的价格分统一按照下列公式计算： 磋商报价得分=(磋商基准价／磋商报价)×价格权值（即10%）×100（因落实政府采购政策进行价格调整的，以调整后的价格计算评标基准价和磋商报价）</w:t>
            </w:r>
          </w:p>
        </w:tc>
        <w:tc>
          <w:tcPr>
            <w:tcW w:w="1068" w:type="dxa"/>
            <w:vAlign w:val="center"/>
          </w:tcPr>
          <w:p w14:paraId="51771D8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10.0000</w:t>
            </w:r>
          </w:p>
        </w:tc>
        <w:tc>
          <w:tcPr>
            <w:tcW w:w="932" w:type="dxa"/>
            <w:vAlign w:val="center"/>
          </w:tcPr>
          <w:p w14:paraId="47F82F96">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客观</w:t>
            </w:r>
          </w:p>
        </w:tc>
        <w:tc>
          <w:tcPr>
            <w:tcW w:w="1419" w:type="dxa"/>
            <w:vAlign w:val="center"/>
          </w:tcPr>
          <w:p w14:paraId="5DBCF284">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报价表</w:t>
            </w:r>
          </w:p>
          <w:p w14:paraId="13A3040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标的清单</w:t>
            </w:r>
          </w:p>
        </w:tc>
      </w:tr>
    </w:tbl>
    <w:p w14:paraId="213416C3">
      <w:pPr>
        <w:pStyle w:val="13"/>
        <w:keepNext w:val="0"/>
        <w:keepLines w:val="0"/>
        <w:pageBreakBefore w:val="0"/>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价格扣除</w:t>
      </w:r>
    </w:p>
    <w:tbl>
      <w:tblPr>
        <w:tblStyle w:val="10"/>
        <w:tblW w:w="9325" w:type="dxa"/>
        <w:tblInd w:w="-40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7"/>
        <w:gridCol w:w="1297"/>
        <w:gridCol w:w="1554"/>
        <w:gridCol w:w="1297"/>
        <w:gridCol w:w="2527"/>
        <w:gridCol w:w="1933"/>
      </w:tblGrid>
      <w:tr w14:paraId="7F395E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58" w:hRule="atLeast"/>
        </w:trPr>
        <w:tc>
          <w:tcPr>
            <w:tcW w:w="717" w:type="dxa"/>
            <w:vAlign w:val="center"/>
          </w:tcPr>
          <w:p w14:paraId="26580CCA">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297" w:type="dxa"/>
            <w:vAlign w:val="center"/>
          </w:tcPr>
          <w:p w14:paraId="62FA0AB6">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价格扣除评审内容</w:t>
            </w:r>
          </w:p>
        </w:tc>
        <w:tc>
          <w:tcPr>
            <w:tcW w:w="1554" w:type="dxa"/>
            <w:vAlign w:val="center"/>
          </w:tcPr>
          <w:p w14:paraId="2E0176AF">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适用情形</w:t>
            </w:r>
          </w:p>
        </w:tc>
        <w:tc>
          <w:tcPr>
            <w:tcW w:w="1297" w:type="dxa"/>
            <w:vAlign w:val="center"/>
          </w:tcPr>
          <w:p w14:paraId="27F6D7E9">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扣除比例</w:t>
            </w:r>
          </w:p>
          <w:p w14:paraId="6158CF49">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（C1）</w:t>
            </w:r>
          </w:p>
        </w:tc>
        <w:tc>
          <w:tcPr>
            <w:tcW w:w="2527" w:type="dxa"/>
            <w:vAlign w:val="center"/>
          </w:tcPr>
          <w:p w14:paraId="13D4696A">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具体标准和要求</w:t>
            </w:r>
          </w:p>
        </w:tc>
        <w:tc>
          <w:tcPr>
            <w:tcW w:w="1933" w:type="dxa"/>
            <w:vAlign w:val="center"/>
          </w:tcPr>
          <w:p w14:paraId="09AC4501">
            <w:pPr>
              <w:pStyle w:val="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关联投标（响应）文件格式文件</w:t>
            </w:r>
          </w:p>
        </w:tc>
      </w:tr>
      <w:tr w14:paraId="739D40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7" w:type="dxa"/>
            <w:vAlign w:val="center"/>
          </w:tcPr>
          <w:p w14:paraId="63F3F261">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297" w:type="dxa"/>
            <w:vAlign w:val="center"/>
          </w:tcPr>
          <w:p w14:paraId="6BCE294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小型、微型企业，监狱企业，残疾人福利性单位</w:t>
            </w:r>
          </w:p>
        </w:tc>
        <w:tc>
          <w:tcPr>
            <w:tcW w:w="1554" w:type="dxa"/>
            <w:vAlign w:val="center"/>
          </w:tcPr>
          <w:p w14:paraId="0053996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投标人或联合体成员均为小型、微型企业</w:t>
            </w:r>
          </w:p>
        </w:tc>
        <w:tc>
          <w:tcPr>
            <w:tcW w:w="1297" w:type="dxa"/>
            <w:vAlign w:val="center"/>
          </w:tcPr>
          <w:p w14:paraId="1C88AD8B">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10.00%</w:t>
            </w:r>
          </w:p>
        </w:tc>
        <w:tc>
          <w:tcPr>
            <w:tcW w:w="2527" w:type="dxa"/>
            <w:vAlign w:val="center"/>
          </w:tcPr>
          <w:p w14:paraId="4E2AE830">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w="1933" w:type="dxa"/>
            <w:vAlign w:val="center"/>
          </w:tcPr>
          <w:p w14:paraId="5B721C28">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报价表</w:t>
            </w:r>
          </w:p>
          <w:p w14:paraId="046487EA">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标的清单</w:t>
            </w:r>
          </w:p>
          <w:p w14:paraId="3C76429F">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中小企业声明函</w:t>
            </w:r>
          </w:p>
          <w:p w14:paraId="44ACC46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残疾人福利性单位声明函</w:t>
            </w:r>
          </w:p>
          <w:p w14:paraId="372049E5">
            <w:pPr>
              <w:pStyle w:val="13"/>
              <w:keepNext w:val="0"/>
              <w:keepLines w:val="0"/>
              <w:pageBreakBefore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监狱企业的证明文件</w:t>
            </w:r>
          </w:p>
        </w:tc>
      </w:tr>
    </w:tbl>
    <w:p w14:paraId="3CF24058">
      <w:pPr>
        <w:pStyle w:val="13"/>
        <w:keepNext w:val="0"/>
        <w:keepLines w:val="0"/>
        <w:pageBreakBefore w:val="0"/>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44" w:name="_Toc4143"/>
      <w:r>
        <w:rPr>
          <w:rFonts w:hint="eastAsia" w:ascii="仿宋" w:hAnsi="仿宋" w:eastAsia="仿宋" w:cs="仿宋"/>
          <w:b/>
          <w:sz w:val="24"/>
          <w:szCs w:val="24"/>
        </w:rPr>
        <w:t>6.5终止采购活动</w:t>
      </w:r>
      <w:bookmarkEnd w:id="44"/>
    </w:p>
    <w:p w14:paraId="1D081C7B">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 xml:space="preserve"> 出现下列情形之一的，采购人或者代理机构应当终止竞争性磋商采购活动，发布项目终止公告并说明原因，重新开展采购活动：</w:t>
      </w:r>
    </w:p>
    <w:p w14:paraId="6FBA3395">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（一）因情况变化，不再符合规定的竞争性磋商采购方式适用情形的；</w:t>
      </w:r>
    </w:p>
    <w:p w14:paraId="36B90D57">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（二）出现影响采购公正的违法、违规行为的；</w:t>
      </w:r>
    </w:p>
    <w:p w14:paraId="0C50789D">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（三）除《政府采购竞争性磋商采购方式管理暂行办法》第二十一条第三款规定的情形外，在采购过程中符合要求的供应商或者报价未超过采购预算的供应商不足3家的（财政部另有规定的除外）；</w:t>
      </w:r>
    </w:p>
    <w:p w14:paraId="7BC00270">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（四）法律法规规定的其他情形。</w:t>
      </w:r>
    </w:p>
    <w:p w14:paraId="17346E08">
      <w:pPr>
        <w:pStyle w:val="13"/>
        <w:keepNext w:val="0"/>
        <w:keepLines w:val="0"/>
        <w:pageBreakBefore w:val="0"/>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45" w:name="_Toc32570"/>
      <w:r>
        <w:rPr>
          <w:rFonts w:hint="eastAsia" w:ascii="仿宋" w:hAnsi="仿宋" w:eastAsia="仿宋" w:cs="仿宋"/>
          <w:b/>
          <w:sz w:val="24"/>
          <w:szCs w:val="24"/>
        </w:rPr>
        <w:t>6.6确定成交供应商</w:t>
      </w:r>
      <w:bookmarkEnd w:id="45"/>
    </w:p>
    <w:p w14:paraId="3D313A39">
      <w:pPr>
        <w:pStyle w:val="13"/>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一、评审结束后，代理机构在评审结束之日起2个工作日内将磋商报告及有关资料送交采购人。</w:t>
      </w:r>
    </w:p>
    <w:p w14:paraId="1C20C903">
      <w:pPr>
        <w:pStyle w:val="13"/>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二、采购人在收到磋商报告后5个工作日内，在磋商报告确定的成交候选供应商名单中按顺序确定成交供应商。成交候选供应商并列的，由采购人采取随机抽取的方式确定成交供应商。</w:t>
      </w:r>
    </w:p>
    <w:p w14:paraId="59812E59">
      <w:pPr>
        <w:pStyle w:val="13"/>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三、采购人逾期未确定成交供应商且不提出异议的，视为确定磋商报告提出的排序第一的供应商为成交供应商。</w:t>
      </w:r>
    </w:p>
    <w:p w14:paraId="33E3434E">
      <w:pPr>
        <w:pStyle w:val="13"/>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四、根据采购人确定的成交供应商，代理机构在陕西省政府采购网上发布成交结果公告，同时向成交供应商发出成交通知书。</w:t>
      </w:r>
    </w:p>
    <w:p w14:paraId="533E6F63">
      <w:pPr>
        <w:pStyle w:val="13"/>
        <w:keepNext w:val="0"/>
        <w:keepLines w:val="0"/>
        <w:pageBreakBefore w:val="0"/>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46" w:name="_Toc32070"/>
      <w:r>
        <w:rPr>
          <w:rFonts w:hint="eastAsia" w:ascii="仿宋" w:hAnsi="仿宋" w:eastAsia="仿宋" w:cs="仿宋"/>
          <w:b/>
          <w:sz w:val="24"/>
          <w:szCs w:val="24"/>
        </w:rPr>
        <w:t>6.7评审专家在政府采购活动中承担以下义务</w:t>
      </w:r>
      <w:bookmarkEnd w:id="46"/>
    </w:p>
    <w:p w14:paraId="47DCB346">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（一）遵守评审工作纪律；</w:t>
      </w:r>
    </w:p>
    <w:p w14:paraId="7D3358C8">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（二）按照客观、公正、审慎的原则，根据采购文件规定的评审程序、评审方法和评审标准进行独立评审；</w:t>
      </w:r>
    </w:p>
    <w:p w14:paraId="1D97A78A">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（三）不得泄露评审文件、评审情况和在评审过程中获悉的商业秘密；</w:t>
      </w:r>
    </w:p>
    <w:p w14:paraId="3F88AE8D">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（四）及时向监督管理部门报告评审过程中的违法违规情况，包括采购组织单位向评审专家作出倾向性、误导性的解释或者说明情况，供应商行贿、提供虚假材料或者串通情况，其他非法干预评审情况等；</w:t>
      </w:r>
    </w:p>
    <w:p w14:paraId="0EC7EA6F">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（五）发现采购文件内容违反国家有关强制性规定或者存在歧义、重大缺陷导致评审工作无法进行时，停止评审并通过项目电子化交易系统向采购组织单位书面说明情况，说明停止评审的情形和具体理由；</w:t>
      </w:r>
    </w:p>
    <w:p w14:paraId="38E1A685">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（六）配合答复处理供应商的询问、质疑和投诉等事项；</w:t>
      </w:r>
    </w:p>
    <w:p w14:paraId="17DF6EA9">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（七）法律、法规和规章规定的其他义务。</w:t>
      </w:r>
    </w:p>
    <w:p w14:paraId="2B180FAD">
      <w:pPr>
        <w:pStyle w:val="13"/>
        <w:keepNext w:val="0"/>
        <w:keepLines w:val="0"/>
        <w:pageBreakBefore w:val="0"/>
        <w:kinsoku/>
        <w:wordWrap/>
        <w:overflowPunct/>
        <w:topLinePunct w:val="0"/>
        <w:autoSpaceDE/>
        <w:autoSpaceDN/>
        <w:bidi w:val="0"/>
        <w:adjustRightInd/>
        <w:snapToGrid/>
        <w:spacing w:line="400" w:lineRule="exact"/>
        <w:textAlignment w:val="auto"/>
        <w:outlineLvl w:val="2"/>
        <w:rPr>
          <w:rFonts w:hint="eastAsia" w:ascii="仿宋" w:hAnsi="仿宋" w:eastAsia="仿宋" w:cs="仿宋"/>
          <w:sz w:val="24"/>
          <w:szCs w:val="24"/>
        </w:rPr>
      </w:pPr>
      <w:bookmarkStart w:id="47" w:name="_Toc24264"/>
      <w:r>
        <w:rPr>
          <w:rFonts w:hint="eastAsia" w:ascii="仿宋" w:hAnsi="仿宋" w:eastAsia="仿宋" w:cs="仿宋"/>
          <w:b/>
          <w:sz w:val="24"/>
          <w:szCs w:val="24"/>
        </w:rPr>
        <w:t>6.8评审专家在政府采购活动中应当遵守以下工作纪律</w:t>
      </w:r>
      <w:bookmarkEnd w:id="47"/>
    </w:p>
    <w:p w14:paraId="08FB7BD4">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（一）遵行《中华人民共和国政府采购法》第十二条和《中华人民共和国政府采购法实施条例》第九条及财政部关于回避的规定。</w:t>
      </w:r>
    </w:p>
    <w:p w14:paraId="7FF5161F">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（二）评审前，应当将通讯工具或者相关电子设备交由采购组织单位统一保管。</w:t>
      </w:r>
    </w:p>
    <w:p w14:paraId="519209D4">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（三）评审过程中，不得与外界联系，因发生不可预见情况，确实需要与外界联系的，应当在监督人员监督之下办理。</w:t>
      </w:r>
    </w:p>
    <w:p w14:paraId="7BA68778">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四）评审过程中，不得干预或者影响正常评审工作，不得发表倾向性、引导性意见，不得修改或细化磋商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14:paraId="0F310126">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（五）在评审过程中和评审结束后，不得记录、复制或带走任何评审资料，不得向外界透露评审内容。</w:t>
      </w:r>
    </w:p>
    <w:p w14:paraId="620B4E26">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（六）服从评审现场采购组织单位的现场秩序管理，接受评审现场监督人员的合法监督。</w:t>
      </w:r>
    </w:p>
    <w:p w14:paraId="789D8CD9">
      <w:pPr>
        <w:pStyle w:val="13"/>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仿宋" w:hAnsi="仿宋" w:eastAsia="仿宋" w:cs="仿宋"/>
        </w:rPr>
      </w:pPr>
      <w:r>
        <w:rPr>
          <w:rFonts w:hint="eastAsia" w:ascii="仿宋" w:hAnsi="仿宋" w:eastAsia="仿宋" w:cs="仿宋"/>
          <w:sz w:val="24"/>
          <w:szCs w:val="24"/>
        </w:rPr>
        <w:t>（七）遵守有关廉洁自律规定，不得私下接触供应商，不得收受供应商及有关业务单位和个人的财物或好处，不得接受采购组织单位的请托。</w:t>
      </w:r>
    </w:p>
    <w:p w14:paraId="2F8F4A70">
      <w:pPr>
        <w:pStyle w:val="13"/>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br w:type="textWrapping"/>
      </w:r>
      <w:r>
        <w:rPr>
          <w:rFonts w:hint="eastAsia" w:ascii="仿宋" w:hAnsi="仿宋" w:eastAsia="仿宋" w:cs="仿宋"/>
        </w:rPr>
        <w:br w:type="page"/>
      </w:r>
    </w:p>
    <w:p w14:paraId="3B49E86C">
      <w:pPr>
        <w:pStyle w:val="13"/>
        <w:jc w:val="center"/>
        <w:outlineLvl w:val="1"/>
        <w:rPr>
          <w:rFonts w:hint="eastAsia" w:ascii="仿宋" w:hAnsi="仿宋" w:eastAsia="仿宋" w:cs="仿宋"/>
        </w:rPr>
      </w:pPr>
      <w:bookmarkStart w:id="48" w:name="_Toc12222"/>
      <w:r>
        <w:rPr>
          <w:rFonts w:hint="eastAsia" w:ascii="仿宋" w:hAnsi="仿宋" w:eastAsia="仿宋" w:cs="仿宋"/>
          <w:b/>
          <w:sz w:val="36"/>
        </w:rPr>
        <w:t>第七章 响应文件格式</w:t>
      </w:r>
      <w:bookmarkEnd w:id="48"/>
    </w:p>
    <w:p w14:paraId="30EA0C79">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一、本章所制响应文件格式，除格式中明确将该格式作为实质性要求的，不具有强制性。</w:t>
      </w:r>
    </w:p>
    <w:p w14:paraId="6D7EB71B">
      <w:pPr>
        <w:pStyle w:val="13"/>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二、本章所制响应文件格式有关表格中的备注栏，由供应商根据自身响应情况作解释性说明，不作为必填项。</w:t>
      </w:r>
    </w:p>
    <w:p w14:paraId="3FEDEFD6">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采购包1：</w:t>
      </w:r>
    </w:p>
    <w:p w14:paraId="43A65E2C">
      <w:pPr>
        <w:pStyle w:val="13"/>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rPr>
      </w:pPr>
      <w:r>
        <w:rPr>
          <w:rFonts w:hint="eastAsia" w:ascii="仿宋" w:hAnsi="仿宋" w:eastAsia="仿宋" w:cs="仿宋"/>
          <w:sz w:val="24"/>
          <w:szCs w:val="24"/>
        </w:rPr>
        <w:t>分册名称：投标响应文件分册</w:t>
      </w:r>
    </w:p>
    <w:p w14:paraId="49B61553">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详见附件：响应文件封面</w:t>
      </w:r>
    </w:p>
    <w:p w14:paraId="43B04B3A">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详见附件：响应函</w:t>
      </w:r>
    </w:p>
    <w:p w14:paraId="74633726">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详见附件：中小企业声明函</w:t>
      </w:r>
    </w:p>
    <w:p w14:paraId="65D192EE">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详见附件：残疾人福利性单位声明函</w:t>
      </w:r>
    </w:p>
    <w:p w14:paraId="523D3ECC">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详见附件：监狱企业的证明文件</w:t>
      </w:r>
    </w:p>
    <w:p w14:paraId="3EF2E8A1">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详见附件：报价表</w:t>
      </w:r>
    </w:p>
    <w:p w14:paraId="2728AE65">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详见附件：标的清单</w:t>
      </w:r>
    </w:p>
    <w:p w14:paraId="6878CFCA">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详见附件：分项报价表</w:t>
      </w:r>
    </w:p>
    <w:p w14:paraId="7C0022BF">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详见附件：服务条款响应偏离表</w:t>
      </w:r>
    </w:p>
    <w:p w14:paraId="35D2B331">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详见附件：商务条款响应偏离表</w:t>
      </w:r>
    </w:p>
    <w:p w14:paraId="74AF33A6">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详见附件：法定代表人授权委托书</w:t>
      </w:r>
    </w:p>
    <w:p w14:paraId="36EC980E">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详见附件：承诺书</w:t>
      </w:r>
    </w:p>
    <w:p w14:paraId="1B8574FB">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详见附件：资格证明文件</w:t>
      </w:r>
    </w:p>
    <w:p w14:paraId="0E3B000D">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详见附件：服务方案</w:t>
      </w:r>
    </w:p>
    <w:p w14:paraId="532117D9">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详见附件：业绩</w:t>
      </w:r>
    </w:p>
    <w:p w14:paraId="4800181E">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详见附件：供应商参与政府采购活动的承诺函</w:t>
      </w:r>
    </w:p>
    <w:p w14:paraId="13C0A99D">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详见附件：拒绝政府采购领域商业贿赂承诺书</w:t>
      </w:r>
    </w:p>
    <w:p w14:paraId="6138FECD">
      <w:pPr>
        <w:pStyle w:val="13"/>
        <w:keepNext w:val="0"/>
        <w:keepLines w:val="0"/>
        <w:pageBreakBefore w:val="0"/>
        <w:widowControl/>
        <w:kinsoku/>
        <w:wordWrap/>
        <w:overflowPunct/>
        <w:topLinePunct w:val="0"/>
        <w:autoSpaceDE/>
        <w:autoSpaceDN/>
        <w:bidi w:val="0"/>
        <w:adjustRightInd/>
        <w:snapToGrid/>
        <w:spacing w:line="400" w:lineRule="exact"/>
        <w:ind w:firstLine="960"/>
        <w:textAlignment w:val="auto"/>
        <w:rPr>
          <w:rFonts w:hint="eastAsia" w:ascii="仿宋" w:hAnsi="仿宋" w:eastAsia="仿宋" w:cs="仿宋"/>
          <w:sz w:val="24"/>
          <w:szCs w:val="24"/>
        </w:rPr>
      </w:pPr>
      <w:r>
        <w:rPr>
          <w:rFonts w:hint="eastAsia" w:ascii="仿宋" w:hAnsi="仿宋" w:eastAsia="仿宋" w:cs="仿宋"/>
          <w:sz w:val="24"/>
          <w:szCs w:val="24"/>
        </w:rPr>
        <w:t>详见附件：供应商认为有必要说明的事宜</w:t>
      </w:r>
    </w:p>
    <w:p w14:paraId="23FDE22D">
      <w:pPr>
        <w:pStyle w:val="13"/>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br w:type="textWrapping"/>
      </w:r>
      <w:r>
        <w:rPr>
          <w:rFonts w:hint="eastAsia" w:ascii="仿宋" w:hAnsi="仿宋" w:eastAsia="仿宋" w:cs="仿宋"/>
        </w:rPr>
        <w:br w:type="page"/>
      </w:r>
    </w:p>
    <w:p w14:paraId="1EA1281B">
      <w:pPr>
        <w:pStyle w:val="13"/>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rPr>
      </w:pPr>
      <w:bookmarkStart w:id="49" w:name="_Toc32256"/>
      <w:bookmarkStart w:id="50" w:name="_Toc21607"/>
      <w:bookmarkStart w:id="51" w:name="_Toc9860"/>
      <w:r>
        <w:rPr>
          <w:rFonts w:hint="eastAsia" w:ascii="仿宋" w:hAnsi="仿宋" w:eastAsia="仿宋" w:cs="仿宋"/>
        </w:rPr>
        <w:drawing>
          <wp:inline distT="0" distB="0" distL="114300" distR="114300">
            <wp:extent cx="5272405" cy="5358765"/>
            <wp:effectExtent l="0" t="0" r="4445"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72405" cy="5358765"/>
                    </a:xfrm>
                    <a:prstGeom prst="rect">
                      <a:avLst/>
                    </a:prstGeom>
                    <a:noFill/>
                    <a:ln>
                      <a:noFill/>
                    </a:ln>
                  </pic:spPr>
                </pic:pic>
              </a:graphicData>
            </a:graphic>
          </wp:inline>
        </w:drawing>
      </w:r>
      <w:bookmarkEnd w:id="49"/>
      <w:bookmarkEnd w:id="50"/>
      <w:bookmarkEnd w:id="51"/>
    </w:p>
    <w:p w14:paraId="141FDC3A">
      <w:pPr>
        <w:rPr>
          <w:rFonts w:hint="eastAsia" w:ascii="仿宋" w:hAnsi="仿宋" w:eastAsia="仿宋" w:cs="仿宋"/>
        </w:rPr>
      </w:pPr>
      <w:r>
        <w:rPr>
          <w:rFonts w:hint="eastAsia" w:ascii="仿宋" w:hAnsi="仿宋" w:eastAsia="仿宋" w:cs="仿宋"/>
        </w:rPr>
        <w:br w:type="page"/>
      </w:r>
    </w:p>
    <w:p w14:paraId="19AA95CB">
      <w:pPr>
        <w:pStyle w:val="13"/>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b/>
          <w:sz w:val="36"/>
          <w:lang w:eastAsia="zh-CN"/>
        </w:rPr>
      </w:pPr>
      <w:r>
        <w:rPr>
          <w:rFonts w:hint="eastAsia" w:ascii="仿宋" w:hAnsi="仿宋" w:eastAsia="仿宋" w:cs="仿宋"/>
          <w:b/>
          <w:sz w:val="36"/>
          <w:lang w:eastAsia="zh-CN"/>
        </w:rPr>
        <w:drawing>
          <wp:inline distT="0" distB="0" distL="114300" distR="114300">
            <wp:extent cx="5259070" cy="7443470"/>
            <wp:effectExtent l="0" t="0" r="17780" b="5080"/>
            <wp:docPr id="3" name="图片 3" descr="响应函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响应函_01"/>
                    <pic:cNvPicPr>
                      <a:picLocks noChangeAspect="1"/>
                    </pic:cNvPicPr>
                  </pic:nvPicPr>
                  <pic:blipFill>
                    <a:blip r:embed="rId6"/>
                    <a:stretch>
                      <a:fillRect/>
                    </a:stretch>
                  </pic:blipFill>
                  <pic:spPr>
                    <a:xfrm>
                      <a:off x="0" y="0"/>
                      <a:ext cx="5259070" cy="7443470"/>
                    </a:xfrm>
                    <a:prstGeom prst="rect">
                      <a:avLst/>
                    </a:prstGeom>
                  </pic:spPr>
                </pic:pic>
              </a:graphicData>
            </a:graphic>
          </wp:inline>
        </w:drawing>
      </w:r>
    </w:p>
    <w:p w14:paraId="00BFC4E0">
      <w:pPr>
        <w:rPr>
          <w:rFonts w:hint="eastAsia" w:ascii="仿宋" w:hAnsi="仿宋" w:eastAsia="仿宋" w:cs="仿宋"/>
          <w:b/>
          <w:sz w:val="36"/>
          <w:lang w:eastAsia="zh-CN"/>
        </w:rPr>
      </w:pPr>
      <w:r>
        <w:rPr>
          <w:rFonts w:hint="eastAsia" w:ascii="仿宋" w:hAnsi="仿宋" w:eastAsia="仿宋" w:cs="仿宋"/>
          <w:b/>
          <w:sz w:val="36"/>
          <w:lang w:eastAsia="zh-CN"/>
        </w:rPr>
        <w:br w:type="page"/>
      </w:r>
    </w:p>
    <w:p w14:paraId="0FA9430B">
      <w:pPr>
        <w:pStyle w:val="13"/>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b/>
          <w:sz w:val="36"/>
          <w:lang w:eastAsia="zh-CN"/>
        </w:rPr>
      </w:pPr>
      <w:r>
        <w:rPr>
          <w:rFonts w:hint="eastAsia" w:ascii="仿宋" w:hAnsi="仿宋" w:eastAsia="仿宋" w:cs="仿宋"/>
          <w:b/>
          <w:sz w:val="36"/>
          <w:lang w:eastAsia="zh-CN"/>
        </w:rPr>
        <w:drawing>
          <wp:inline distT="0" distB="0" distL="114300" distR="114300">
            <wp:extent cx="5259070" cy="7443470"/>
            <wp:effectExtent l="0" t="0" r="17780" b="5080"/>
            <wp:docPr id="2" name="图片 2" descr="响应函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响应函_02"/>
                    <pic:cNvPicPr>
                      <a:picLocks noChangeAspect="1"/>
                    </pic:cNvPicPr>
                  </pic:nvPicPr>
                  <pic:blipFill>
                    <a:blip r:embed="rId7"/>
                    <a:stretch>
                      <a:fillRect/>
                    </a:stretch>
                  </pic:blipFill>
                  <pic:spPr>
                    <a:xfrm>
                      <a:off x="0" y="0"/>
                      <a:ext cx="5259070" cy="7443470"/>
                    </a:xfrm>
                    <a:prstGeom prst="rect">
                      <a:avLst/>
                    </a:prstGeom>
                  </pic:spPr>
                </pic:pic>
              </a:graphicData>
            </a:graphic>
          </wp:inline>
        </w:drawing>
      </w:r>
    </w:p>
    <w:p w14:paraId="6FA169E8">
      <w:pPr>
        <w:rPr>
          <w:rFonts w:hint="eastAsia" w:ascii="仿宋" w:hAnsi="仿宋" w:eastAsia="仿宋" w:cs="仿宋"/>
          <w:b/>
          <w:sz w:val="36"/>
          <w:lang w:eastAsia="zh-CN"/>
        </w:rPr>
      </w:pPr>
      <w:r>
        <w:rPr>
          <w:rFonts w:hint="eastAsia" w:ascii="仿宋" w:hAnsi="仿宋" w:eastAsia="仿宋" w:cs="仿宋"/>
          <w:b/>
          <w:sz w:val="36"/>
          <w:lang w:eastAsia="zh-CN"/>
        </w:rPr>
        <w:br w:type="page"/>
      </w:r>
    </w:p>
    <w:p w14:paraId="0A62E0C2">
      <w:pPr>
        <w:pStyle w:val="13"/>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rPr>
      </w:pPr>
      <w:r>
        <w:rPr>
          <w:rFonts w:hint="eastAsia" w:ascii="仿宋" w:hAnsi="仿宋" w:eastAsia="仿宋" w:cs="仿宋"/>
        </w:rPr>
        <w:drawing>
          <wp:inline distT="0" distB="0" distL="114300" distR="114300">
            <wp:extent cx="5274310" cy="5274310"/>
            <wp:effectExtent l="0" t="0" r="2540" b="25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a:stretch>
                      <a:fillRect/>
                    </a:stretch>
                  </pic:blipFill>
                  <pic:spPr>
                    <a:xfrm>
                      <a:off x="0" y="0"/>
                      <a:ext cx="5274310" cy="5274310"/>
                    </a:xfrm>
                    <a:prstGeom prst="rect">
                      <a:avLst/>
                    </a:prstGeom>
                    <a:noFill/>
                    <a:ln>
                      <a:noFill/>
                    </a:ln>
                  </pic:spPr>
                </pic:pic>
              </a:graphicData>
            </a:graphic>
          </wp:inline>
        </w:drawing>
      </w:r>
    </w:p>
    <w:p w14:paraId="0F3CBC35">
      <w:pPr>
        <w:rPr>
          <w:rFonts w:hint="eastAsia" w:ascii="仿宋" w:hAnsi="仿宋" w:eastAsia="仿宋" w:cs="仿宋"/>
        </w:rPr>
      </w:pPr>
      <w:r>
        <w:rPr>
          <w:rFonts w:hint="eastAsia" w:ascii="仿宋" w:hAnsi="仿宋" w:eastAsia="仿宋" w:cs="仿宋"/>
        </w:rPr>
        <w:br w:type="page"/>
      </w:r>
    </w:p>
    <w:p w14:paraId="5AE85491">
      <w:pPr>
        <w:pStyle w:val="13"/>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rPr>
      </w:pPr>
      <w:r>
        <w:rPr>
          <w:rFonts w:hint="eastAsia" w:ascii="仿宋" w:hAnsi="仿宋" w:eastAsia="仿宋" w:cs="仿宋"/>
        </w:rPr>
        <w:drawing>
          <wp:inline distT="0" distB="0" distL="114300" distR="114300">
            <wp:extent cx="5272405" cy="5205730"/>
            <wp:effectExtent l="0" t="0" r="4445" b="1397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9"/>
                    <a:stretch>
                      <a:fillRect/>
                    </a:stretch>
                  </pic:blipFill>
                  <pic:spPr>
                    <a:xfrm>
                      <a:off x="0" y="0"/>
                      <a:ext cx="5272405" cy="5205730"/>
                    </a:xfrm>
                    <a:prstGeom prst="rect">
                      <a:avLst/>
                    </a:prstGeom>
                    <a:noFill/>
                    <a:ln>
                      <a:noFill/>
                    </a:ln>
                  </pic:spPr>
                </pic:pic>
              </a:graphicData>
            </a:graphic>
          </wp:inline>
        </w:drawing>
      </w:r>
    </w:p>
    <w:p w14:paraId="0932EB5F">
      <w:pPr>
        <w:rPr>
          <w:rFonts w:hint="eastAsia" w:ascii="仿宋" w:hAnsi="仿宋" w:eastAsia="仿宋" w:cs="仿宋"/>
        </w:rPr>
      </w:pPr>
      <w:r>
        <w:rPr>
          <w:rFonts w:hint="eastAsia" w:ascii="仿宋" w:hAnsi="仿宋" w:eastAsia="仿宋" w:cs="仿宋"/>
        </w:rPr>
        <w:br w:type="page"/>
      </w:r>
    </w:p>
    <w:p w14:paraId="4C7EA0E3">
      <w:pPr>
        <w:keepNext/>
        <w:keepLines/>
        <w:numPr>
          <w:ilvl w:val="0"/>
          <w:numId w:val="0"/>
        </w:numPr>
        <w:spacing w:line="360" w:lineRule="auto"/>
        <w:ind w:leftChars="0"/>
        <w:jc w:val="center"/>
        <w:outlineLvl w:val="2"/>
        <w:rPr>
          <w:rFonts w:hint="eastAsia" w:ascii="仿宋" w:hAnsi="仿宋" w:eastAsia="仿宋" w:cs="仿宋"/>
          <w:b/>
          <w:bCs/>
          <w:sz w:val="28"/>
          <w:szCs w:val="28"/>
        </w:rPr>
      </w:pPr>
      <w:bookmarkStart w:id="52" w:name="_Toc26779"/>
      <w:bookmarkStart w:id="53" w:name="_Toc23188"/>
      <w:bookmarkStart w:id="54" w:name="_Toc31506"/>
      <w:bookmarkStart w:id="55" w:name="_Toc798"/>
      <w:r>
        <w:rPr>
          <w:rFonts w:hint="eastAsia" w:ascii="仿宋" w:hAnsi="仿宋" w:eastAsia="仿宋" w:cs="仿宋"/>
          <w:b/>
          <w:bCs/>
          <w:sz w:val="28"/>
          <w:szCs w:val="28"/>
        </w:rPr>
        <w:t>监狱企业的证明文件</w:t>
      </w:r>
      <w:bookmarkEnd w:id="52"/>
      <w:bookmarkEnd w:id="53"/>
      <w:bookmarkEnd w:id="54"/>
      <w:bookmarkEnd w:id="55"/>
    </w:p>
    <w:p w14:paraId="7674B421">
      <w:pPr>
        <w:rPr>
          <w:rFonts w:hint="eastAsia" w:ascii="仿宋" w:hAnsi="仿宋" w:eastAsia="仿宋" w:cs="仿宋"/>
          <w:b/>
          <w:bCs/>
          <w:sz w:val="28"/>
          <w:szCs w:val="28"/>
        </w:rPr>
      </w:pPr>
    </w:p>
    <w:p w14:paraId="7F3D2378">
      <w:pPr>
        <w:spacing w:line="360" w:lineRule="auto"/>
        <w:rPr>
          <w:rFonts w:hint="eastAsia" w:ascii="仿宋" w:hAnsi="仿宋" w:eastAsia="仿宋" w:cs="仿宋"/>
          <w:sz w:val="24"/>
          <w:szCs w:val="24"/>
        </w:rPr>
      </w:pPr>
      <w:r>
        <w:rPr>
          <w:rFonts w:hint="eastAsia" w:ascii="仿宋" w:hAnsi="仿宋" w:eastAsia="仿宋" w:cs="仿宋"/>
          <w:b/>
          <w:spacing w:val="6"/>
          <w:sz w:val="24"/>
          <w:szCs w:val="24"/>
        </w:rPr>
        <w:t>注：1、根据《司法部关于政府采购支持监狱企业发展有关问题的通知》财库〔2014〕68号，监狱企业参加政府采购活动时，应当提供由省级以上监狱管理局、戒毒管理局（含新疆生产建设兵团）出具的属于监狱企业的证明文件。</w:t>
      </w:r>
    </w:p>
    <w:p w14:paraId="45509609">
      <w:pPr>
        <w:pStyle w:val="13"/>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lang w:eastAsia="zh-CN"/>
        </w:rPr>
      </w:pPr>
    </w:p>
    <w:p w14:paraId="732063CA">
      <w:pPr>
        <w:rPr>
          <w:rFonts w:hint="eastAsia" w:ascii="仿宋" w:hAnsi="仿宋" w:eastAsia="仿宋" w:cs="仿宋"/>
        </w:rPr>
      </w:pPr>
      <w:r>
        <w:rPr>
          <w:rFonts w:hint="eastAsia" w:ascii="仿宋" w:hAnsi="仿宋" w:eastAsia="仿宋" w:cs="仿宋"/>
          <w:color w:val="auto"/>
        </w:rPr>
        <w:t xml:space="preserve"> </w:t>
      </w:r>
      <w:r>
        <w:rPr>
          <w:rFonts w:hint="eastAsia" w:ascii="仿宋" w:hAnsi="仿宋" w:eastAsia="仿宋" w:cs="仿宋"/>
          <w:color w:val="auto"/>
        </w:rPr>
        <w:br w:type="textWrapping"/>
      </w:r>
      <w:r>
        <w:rPr>
          <w:rFonts w:hint="eastAsia" w:ascii="仿宋" w:hAnsi="仿宋" w:eastAsia="仿宋" w:cs="仿宋"/>
          <w:color w:val="auto"/>
        </w:rPr>
        <w:br w:type="page"/>
      </w:r>
      <w:bookmarkStart w:id="56" w:name="_Toc6563"/>
      <w:bookmarkStart w:id="57" w:name="_Toc17819"/>
      <w:bookmarkStart w:id="58" w:name="_Toc7321"/>
      <w:r>
        <w:rPr>
          <w:rFonts w:hint="eastAsia" w:ascii="仿宋" w:hAnsi="仿宋" w:eastAsia="仿宋" w:cs="仿宋"/>
        </w:rPr>
        <w:drawing>
          <wp:inline distT="0" distB="0" distL="114300" distR="114300">
            <wp:extent cx="5271770" cy="4220210"/>
            <wp:effectExtent l="0" t="0" r="5080" b="889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0"/>
                    <a:stretch>
                      <a:fillRect/>
                    </a:stretch>
                  </pic:blipFill>
                  <pic:spPr>
                    <a:xfrm>
                      <a:off x="0" y="0"/>
                      <a:ext cx="5271770" cy="4220210"/>
                    </a:xfrm>
                    <a:prstGeom prst="rect">
                      <a:avLst/>
                    </a:prstGeom>
                    <a:noFill/>
                    <a:ln>
                      <a:noFill/>
                    </a:ln>
                  </pic:spPr>
                </pic:pic>
              </a:graphicData>
            </a:graphic>
          </wp:inline>
        </w:drawing>
      </w:r>
      <w:bookmarkEnd w:id="56"/>
      <w:bookmarkEnd w:id="57"/>
      <w:bookmarkEnd w:id="58"/>
    </w:p>
    <w:p w14:paraId="75512F18">
      <w:pPr>
        <w:rPr>
          <w:rFonts w:hint="eastAsia" w:ascii="仿宋" w:hAnsi="仿宋" w:eastAsia="仿宋" w:cs="仿宋"/>
        </w:rPr>
      </w:pPr>
      <w:r>
        <w:rPr>
          <w:rFonts w:hint="eastAsia" w:ascii="仿宋" w:hAnsi="仿宋" w:eastAsia="仿宋" w:cs="仿宋"/>
        </w:rPr>
        <w:br w:type="page"/>
      </w:r>
    </w:p>
    <w:p w14:paraId="3C18D138">
      <w:pPr>
        <w:rPr>
          <w:rFonts w:hint="eastAsia" w:ascii="仿宋" w:hAnsi="仿宋" w:eastAsia="仿宋" w:cs="仿宋"/>
          <w:lang w:eastAsia="zh-CN"/>
        </w:rPr>
      </w:pPr>
      <w:r>
        <w:rPr>
          <w:rFonts w:hint="eastAsia" w:ascii="仿宋" w:hAnsi="仿宋" w:eastAsia="仿宋" w:cs="仿宋"/>
          <w:lang w:eastAsia="zh-CN"/>
        </w:rPr>
        <w:drawing>
          <wp:inline distT="0" distB="0" distL="114300" distR="114300">
            <wp:extent cx="5273675" cy="3629025"/>
            <wp:effectExtent l="0" t="0" r="3175" b="9525"/>
            <wp:docPr id="8" name="图片 8" descr="a976d392-551b-4d75-b62c-5ec49c742b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976d392-551b-4d75-b62c-5ec49c742b8a"/>
                    <pic:cNvPicPr>
                      <a:picLocks noChangeAspect="1"/>
                    </pic:cNvPicPr>
                  </pic:nvPicPr>
                  <pic:blipFill>
                    <a:blip r:embed="rId11"/>
                    <a:stretch>
                      <a:fillRect/>
                    </a:stretch>
                  </pic:blipFill>
                  <pic:spPr>
                    <a:xfrm>
                      <a:off x="0" y="0"/>
                      <a:ext cx="5273675" cy="3629025"/>
                    </a:xfrm>
                    <a:prstGeom prst="rect">
                      <a:avLst/>
                    </a:prstGeom>
                  </pic:spPr>
                </pic:pic>
              </a:graphicData>
            </a:graphic>
          </wp:inline>
        </w:drawing>
      </w:r>
    </w:p>
    <w:p w14:paraId="4972A37F">
      <w:pPr>
        <w:rPr>
          <w:rFonts w:hint="eastAsia" w:ascii="仿宋" w:hAnsi="仿宋" w:eastAsia="仿宋" w:cs="仿宋"/>
        </w:rPr>
      </w:pPr>
      <w:r>
        <w:rPr>
          <w:rFonts w:hint="eastAsia" w:ascii="仿宋" w:hAnsi="仿宋" w:eastAsia="仿宋" w:cs="仿宋"/>
        </w:rPr>
        <w:br w:type="page"/>
      </w:r>
    </w:p>
    <w:p w14:paraId="3D0E2027">
      <w:pPr>
        <w:spacing w:before="179" w:line="222" w:lineRule="auto"/>
        <w:jc w:val="center"/>
        <w:rPr>
          <w:rFonts w:hint="eastAsia" w:ascii="仿宋" w:hAnsi="仿宋" w:eastAsia="仿宋" w:cs="仿宋"/>
          <w:b/>
          <w:bCs/>
          <w:spacing w:val="0"/>
          <w:sz w:val="32"/>
          <w:szCs w:val="32"/>
          <w:shd w:val="clear" w:color="auto" w:fill="auto"/>
          <w:lang w:val="en-US" w:eastAsia="zh-CN"/>
        </w:rPr>
      </w:pPr>
      <w:r>
        <w:rPr>
          <w:rFonts w:hint="eastAsia" w:ascii="仿宋" w:hAnsi="仿宋" w:eastAsia="仿宋" w:cs="仿宋"/>
          <w:b/>
          <w:bCs/>
          <w:spacing w:val="0"/>
          <w:sz w:val="32"/>
          <w:szCs w:val="32"/>
          <w:shd w:val="clear" w:color="auto" w:fill="auto"/>
          <w:lang w:val="en-US" w:eastAsia="zh-CN"/>
        </w:rPr>
        <w:t>分项报价表</w:t>
      </w:r>
    </w:p>
    <w:p w14:paraId="0E692285">
      <w:pPr>
        <w:spacing w:before="179" w:line="222" w:lineRule="auto"/>
        <w:jc w:val="center"/>
        <w:rPr>
          <w:rFonts w:hint="eastAsia" w:ascii="仿宋" w:hAnsi="仿宋" w:eastAsia="仿宋" w:cs="仿宋"/>
          <w:spacing w:val="0"/>
          <w:sz w:val="24"/>
          <w:szCs w:val="24"/>
          <w:shd w:val="clear" w:color="FFFFFF" w:fill="D9D9D9"/>
          <w:lang w:val="en-US" w:eastAsia="zh-CN"/>
        </w:rPr>
      </w:pPr>
    </w:p>
    <w:p w14:paraId="70BD0695">
      <w:pPr>
        <w:spacing w:before="179" w:line="222" w:lineRule="auto"/>
        <w:jc w:val="left"/>
        <w:rPr>
          <w:rFonts w:hint="eastAsia" w:ascii="仿宋" w:hAnsi="仿宋" w:eastAsia="仿宋" w:cs="仿宋"/>
          <w:spacing w:val="0"/>
          <w:sz w:val="24"/>
          <w:szCs w:val="24"/>
          <w:shd w:val="clear" w:color="auto" w:fill="auto"/>
          <w:lang w:val="en-US" w:eastAsia="zh-CN"/>
        </w:rPr>
      </w:pPr>
      <w:r>
        <w:rPr>
          <w:rFonts w:hint="eastAsia" w:ascii="仿宋" w:hAnsi="仿宋" w:eastAsia="仿宋" w:cs="仿宋"/>
          <w:spacing w:val="0"/>
          <w:sz w:val="24"/>
          <w:szCs w:val="24"/>
          <w:shd w:val="clear" w:color="auto" w:fill="auto"/>
          <w:lang w:val="en-US" w:eastAsia="zh-CN"/>
        </w:rPr>
        <w:t>项目名称：</w:t>
      </w:r>
    </w:p>
    <w:p w14:paraId="6ABED000">
      <w:pPr>
        <w:spacing w:before="179" w:line="222" w:lineRule="auto"/>
        <w:jc w:val="left"/>
        <w:rPr>
          <w:rFonts w:hint="eastAsia" w:ascii="仿宋" w:hAnsi="仿宋" w:eastAsia="仿宋" w:cs="仿宋"/>
          <w:spacing w:val="0"/>
          <w:sz w:val="24"/>
          <w:szCs w:val="24"/>
          <w:shd w:val="clear" w:color="auto" w:fill="auto"/>
          <w:lang w:val="en-US" w:eastAsia="zh-CN"/>
        </w:rPr>
      </w:pPr>
      <w:r>
        <w:rPr>
          <w:rFonts w:hint="eastAsia" w:ascii="仿宋" w:hAnsi="仿宋" w:eastAsia="仿宋" w:cs="仿宋"/>
          <w:spacing w:val="0"/>
          <w:sz w:val="24"/>
          <w:szCs w:val="24"/>
          <w:shd w:val="clear" w:color="auto" w:fill="auto"/>
          <w:lang w:val="en-US" w:eastAsia="zh-CN"/>
        </w:rPr>
        <w:t>项目编号：</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556"/>
        <w:gridCol w:w="1048"/>
        <w:gridCol w:w="1219"/>
        <w:gridCol w:w="1400"/>
        <w:gridCol w:w="1499"/>
        <w:gridCol w:w="864"/>
      </w:tblGrid>
      <w:tr w14:paraId="33CC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top"/>
          </w:tcPr>
          <w:p w14:paraId="66BC6278">
            <w:pPr>
              <w:pStyle w:val="14"/>
              <w:widowControl w:val="0"/>
              <w:bidi w:val="0"/>
              <w:jc w:val="center"/>
              <w:rPr>
                <w:rFonts w:hint="eastAsia" w:ascii="仿宋" w:hAnsi="仿宋" w:eastAsia="仿宋" w:cs="仿宋"/>
                <w:spacing w:val="0"/>
                <w:szCs w:val="24"/>
                <w:shd w:val="clear" w:color="FFFFFF" w:fill="D9D9D9"/>
                <w:vertAlign w:val="baseline"/>
                <w:lang w:val="en-US" w:eastAsia="zh-CN"/>
              </w:rPr>
            </w:pPr>
            <w:r>
              <w:rPr>
                <w:rFonts w:hint="eastAsia" w:ascii="仿宋" w:hAnsi="仿宋" w:eastAsia="仿宋" w:cs="仿宋"/>
                <w:lang w:val="en-US" w:eastAsia="zh-CN"/>
              </w:rPr>
              <w:t>序号</w:t>
            </w:r>
          </w:p>
        </w:tc>
        <w:tc>
          <w:tcPr>
            <w:tcW w:w="1556" w:type="dxa"/>
            <w:vAlign w:val="top"/>
          </w:tcPr>
          <w:p w14:paraId="3C65C2F9">
            <w:pPr>
              <w:pStyle w:val="14"/>
              <w:widowControl w:val="0"/>
              <w:bidi w:val="0"/>
              <w:jc w:val="center"/>
              <w:rPr>
                <w:rFonts w:hint="eastAsia" w:ascii="仿宋" w:hAnsi="仿宋" w:eastAsia="仿宋" w:cs="仿宋"/>
                <w:lang w:val="en-US" w:eastAsia="zh-CN"/>
              </w:rPr>
            </w:pPr>
            <w:r>
              <w:rPr>
                <w:rFonts w:hint="eastAsia" w:ascii="仿宋" w:hAnsi="仿宋" w:eastAsia="仿宋" w:cs="仿宋"/>
                <w:lang w:val="en-US" w:eastAsia="zh-CN"/>
              </w:rPr>
              <w:t>服务内容</w:t>
            </w:r>
          </w:p>
        </w:tc>
        <w:tc>
          <w:tcPr>
            <w:tcW w:w="1048" w:type="dxa"/>
            <w:vAlign w:val="top"/>
          </w:tcPr>
          <w:p w14:paraId="5B9009BE">
            <w:pPr>
              <w:pStyle w:val="14"/>
              <w:widowControl w:val="0"/>
              <w:bidi w:val="0"/>
              <w:jc w:val="center"/>
              <w:rPr>
                <w:rFonts w:hint="eastAsia" w:ascii="仿宋" w:hAnsi="仿宋" w:eastAsia="仿宋" w:cs="仿宋"/>
                <w:lang w:val="en-US" w:eastAsia="zh-CN"/>
              </w:rPr>
            </w:pPr>
            <w:r>
              <w:rPr>
                <w:rFonts w:hint="eastAsia" w:ascii="仿宋" w:hAnsi="仿宋" w:eastAsia="仿宋" w:cs="仿宋"/>
                <w:lang w:val="en-US" w:eastAsia="zh-CN"/>
              </w:rPr>
              <w:t>单位</w:t>
            </w:r>
          </w:p>
        </w:tc>
        <w:tc>
          <w:tcPr>
            <w:tcW w:w="1219" w:type="dxa"/>
            <w:vAlign w:val="top"/>
          </w:tcPr>
          <w:p w14:paraId="09E5C1CF">
            <w:pPr>
              <w:pStyle w:val="14"/>
              <w:widowControl w:val="0"/>
              <w:bidi w:val="0"/>
              <w:jc w:val="center"/>
              <w:rPr>
                <w:rFonts w:hint="eastAsia" w:ascii="仿宋" w:hAnsi="仿宋" w:eastAsia="仿宋" w:cs="仿宋"/>
                <w:lang w:val="en-US" w:eastAsia="zh-CN"/>
              </w:rPr>
            </w:pPr>
            <w:r>
              <w:rPr>
                <w:rFonts w:hint="eastAsia" w:ascii="仿宋" w:hAnsi="仿宋" w:eastAsia="仿宋" w:cs="仿宋"/>
                <w:lang w:val="en-US" w:eastAsia="zh-CN"/>
              </w:rPr>
              <w:t>数量</w:t>
            </w:r>
          </w:p>
        </w:tc>
        <w:tc>
          <w:tcPr>
            <w:tcW w:w="1400" w:type="dxa"/>
            <w:vAlign w:val="top"/>
          </w:tcPr>
          <w:p w14:paraId="5E09A470">
            <w:pPr>
              <w:pStyle w:val="14"/>
              <w:widowControl w:val="0"/>
              <w:bidi w:val="0"/>
              <w:jc w:val="center"/>
              <w:rPr>
                <w:rFonts w:hint="eastAsia" w:ascii="仿宋" w:hAnsi="仿宋" w:eastAsia="仿宋" w:cs="仿宋"/>
                <w:lang w:val="en-US" w:eastAsia="zh-CN"/>
              </w:rPr>
            </w:pPr>
            <w:r>
              <w:rPr>
                <w:rFonts w:hint="eastAsia" w:ascii="仿宋" w:hAnsi="仿宋" w:eastAsia="仿宋" w:cs="仿宋"/>
                <w:lang w:val="en-US" w:eastAsia="zh-CN"/>
              </w:rPr>
              <w:t>单价（元）</w:t>
            </w:r>
          </w:p>
        </w:tc>
        <w:tc>
          <w:tcPr>
            <w:tcW w:w="1499" w:type="dxa"/>
            <w:vAlign w:val="top"/>
          </w:tcPr>
          <w:p w14:paraId="34E7B5BA">
            <w:pPr>
              <w:pStyle w:val="14"/>
              <w:widowControl w:val="0"/>
              <w:bidi w:val="0"/>
              <w:jc w:val="center"/>
              <w:rPr>
                <w:rFonts w:hint="eastAsia" w:ascii="仿宋" w:hAnsi="仿宋" w:eastAsia="仿宋" w:cs="仿宋"/>
                <w:lang w:val="en-US" w:eastAsia="zh-CN"/>
              </w:rPr>
            </w:pPr>
            <w:r>
              <w:rPr>
                <w:rFonts w:hint="eastAsia" w:ascii="仿宋" w:hAnsi="仿宋" w:eastAsia="仿宋" w:cs="仿宋"/>
                <w:lang w:val="en-US" w:eastAsia="zh-CN"/>
              </w:rPr>
              <w:t>总价（元）</w:t>
            </w:r>
          </w:p>
        </w:tc>
        <w:tc>
          <w:tcPr>
            <w:tcW w:w="864" w:type="dxa"/>
            <w:vAlign w:val="top"/>
          </w:tcPr>
          <w:p w14:paraId="7C61E5D9">
            <w:pPr>
              <w:pStyle w:val="14"/>
              <w:widowControl w:val="0"/>
              <w:bidi w:val="0"/>
              <w:jc w:val="center"/>
              <w:rPr>
                <w:rFonts w:hint="eastAsia" w:ascii="仿宋" w:hAnsi="仿宋" w:eastAsia="仿宋" w:cs="仿宋"/>
                <w:lang w:val="en-US" w:eastAsia="zh-CN"/>
              </w:rPr>
            </w:pPr>
            <w:r>
              <w:rPr>
                <w:rFonts w:hint="eastAsia" w:ascii="仿宋" w:hAnsi="仿宋" w:eastAsia="仿宋" w:cs="仿宋"/>
                <w:lang w:val="en-US" w:eastAsia="zh-CN"/>
              </w:rPr>
              <w:t>备注</w:t>
            </w:r>
          </w:p>
        </w:tc>
      </w:tr>
      <w:tr w14:paraId="648C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3359EC88">
            <w:pPr>
              <w:widowControl w:val="0"/>
              <w:numPr>
                <w:ilvl w:val="0"/>
                <w:numId w:val="1"/>
              </w:numPr>
              <w:spacing w:before="179" w:line="222" w:lineRule="auto"/>
              <w:ind w:left="425" w:leftChars="0" w:hanging="425" w:firstLineChars="0"/>
              <w:jc w:val="left"/>
              <w:rPr>
                <w:rFonts w:hint="eastAsia" w:ascii="仿宋" w:hAnsi="仿宋" w:eastAsia="仿宋" w:cs="仿宋"/>
                <w:spacing w:val="0"/>
                <w:sz w:val="24"/>
                <w:szCs w:val="24"/>
                <w:shd w:val="clear" w:color="FFFFFF" w:fill="D9D9D9"/>
                <w:vertAlign w:val="baseline"/>
                <w:lang w:val="en-US" w:eastAsia="zh-CN"/>
              </w:rPr>
            </w:pPr>
          </w:p>
        </w:tc>
        <w:tc>
          <w:tcPr>
            <w:tcW w:w="1556" w:type="dxa"/>
          </w:tcPr>
          <w:p w14:paraId="1BCBC32B">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048" w:type="dxa"/>
          </w:tcPr>
          <w:p w14:paraId="75E470AE">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219" w:type="dxa"/>
          </w:tcPr>
          <w:p w14:paraId="1B1C5B08">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00" w:type="dxa"/>
          </w:tcPr>
          <w:p w14:paraId="0C5F5865">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99" w:type="dxa"/>
          </w:tcPr>
          <w:p w14:paraId="66060C65">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864" w:type="dxa"/>
          </w:tcPr>
          <w:p w14:paraId="37E76056">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r>
      <w:tr w14:paraId="0CD5A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1B546E43">
            <w:pPr>
              <w:widowControl w:val="0"/>
              <w:numPr>
                <w:ilvl w:val="0"/>
                <w:numId w:val="1"/>
              </w:numPr>
              <w:spacing w:before="179" w:line="222" w:lineRule="auto"/>
              <w:ind w:left="425" w:leftChars="0" w:hanging="425" w:firstLineChars="0"/>
              <w:jc w:val="left"/>
              <w:rPr>
                <w:rFonts w:hint="eastAsia" w:ascii="仿宋" w:hAnsi="仿宋" w:eastAsia="仿宋" w:cs="仿宋"/>
                <w:spacing w:val="0"/>
                <w:sz w:val="24"/>
                <w:szCs w:val="24"/>
                <w:shd w:val="clear" w:color="FFFFFF" w:fill="D9D9D9"/>
                <w:vertAlign w:val="baseline"/>
                <w:lang w:val="en-US" w:eastAsia="zh-CN"/>
              </w:rPr>
            </w:pPr>
          </w:p>
        </w:tc>
        <w:tc>
          <w:tcPr>
            <w:tcW w:w="1556" w:type="dxa"/>
          </w:tcPr>
          <w:p w14:paraId="5639D502">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048" w:type="dxa"/>
          </w:tcPr>
          <w:p w14:paraId="3295972D">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219" w:type="dxa"/>
          </w:tcPr>
          <w:p w14:paraId="7279BCB9">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00" w:type="dxa"/>
          </w:tcPr>
          <w:p w14:paraId="4BFD9D3D">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99" w:type="dxa"/>
          </w:tcPr>
          <w:p w14:paraId="0628B8E2">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864" w:type="dxa"/>
          </w:tcPr>
          <w:p w14:paraId="0478D2E0">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r>
      <w:tr w14:paraId="0888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7F78E7DA">
            <w:pPr>
              <w:widowControl w:val="0"/>
              <w:numPr>
                <w:ilvl w:val="0"/>
                <w:numId w:val="1"/>
              </w:numPr>
              <w:spacing w:before="179" w:line="222" w:lineRule="auto"/>
              <w:ind w:left="425" w:leftChars="0" w:hanging="425" w:firstLineChars="0"/>
              <w:jc w:val="left"/>
              <w:rPr>
                <w:rFonts w:hint="eastAsia" w:ascii="仿宋" w:hAnsi="仿宋" w:eastAsia="仿宋" w:cs="仿宋"/>
                <w:spacing w:val="0"/>
                <w:sz w:val="24"/>
                <w:szCs w:val="24"/>
                <w:shd w:val="clear" w:color="FFFFFF" w:fill="D9D9D9"/>
                <w:vertAlign w:val="baseline"/>
                <w:lang w:val="en-US" w:eastAsia="zh-CN"/>
              </w:rPr>
            </w:pPr>
          </w:p>
        </w:tc>
        <w:tc>
          <w:tcPr>
            <w:tcW w:w="1556" w:type="dxa"/>
          </w:tcPr>
          <w:p w14:paraId="058B8BFA">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048" w:type="dxa"/>
          </w:tcPr>
          <w:p w14:paraId="39FEE333">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219" w:type="dxa"/>
          </w:tcPr>
          <w:p w14:paraId="720A424F">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00" w:type="dxa"/>
          </w:tcPr>
          <w:p w14:paraId="03A316D0">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99" w:type="dxa"/>
          </w:tcPr>
          <w:p w14:paraId="0C14C1AD">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864" w:type="dxa"/>
          </w:tcPr>
          <w:p w14:paraId="78261F50">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r>
      <w:tr w14:paraId="071E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77C4FB9A">
            <w:pPr>
              <w:widowControl w:val="0"/>
              <w:numPr>
                <w:ilvl w:val="0"/>
                <w:numId w:val="1"/>
              </w:numPr>
              <w:spacing w:before="179" w:line="222" w:lineRule="auto"/>
              <w:ind w:left="425" w:leftChars="0" w:hanging="425" w:firstLineChars="0"/>
              <w:jc w:val="left"/>
              <w:rPr>
                <w:rFonts w:hint="eastAsia" w:ascii="仿宋" w:hAnsi="仿宋" w:eastAsia="仿宋" w:cs="仿宋"/>
                <w:spacing w:val="0"/>
                <w:sz w:val="24"/>
                <w:szCs w:val="24"/>
                <w:shd w:val="clear" w:color="FFFFFF" w:fill="D9D9D9"/>
                <w:vertAlign w:val="baseline"/>
                <w:lang w:val="en-US" w:eastAsia="zh-CN"/>
              </w:rPr>
            </w:pPr>
          </w:p>
        </w:tc>
        <w:tc>
          <w:tcPr>
            <w:tcW w:w="1556" w:type="dxa"/>
          </w:tcPr>
          <w:p w14:paraId="4D94B80D">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048" w:type="dxa"/>
          </w:tcPr>
          <w:p w14:paraId="066D1E29">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219" w:type="dxa"/>
          </w:tcPr>
          <w:p w14:paraId="7E6BC133">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00" w:type="dxa"/>
          </w:tcPr>
          <w:p w14:paraId="6E5F0F28">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99" w:type="dxa"/>
          </w:tcPr>
          <w:p w14:paraId="246E1BD3">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864" w:type="dxa"/>
          </w:tcPr>
          <w:p w14:paraId="0475F21D">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r>
      <w:tr w14:paraId="143F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2844E99B">
            <w:pPr>
              <w:widowControl w:val="0"/>
              <w:numPr>
                <w:ilvl w:val="0"/>
                <w:numId w:val="1"/>
              </w:numPr>
              <w:spacing w:before="179" w:line="222" w:lineRule="auto"/>
              <w:ind w:left="425" w:leftChars="0" w:hanging="425" w:firstLineChars="0"/>
              <w:jc w:val="left"/>
              <w:rPr>
                <w:rFonts w:hint="eastAsia" w:ascii="仿宋" w:hAnsi="仿宋" w:eastAsia="仿宋" w:cs="仿宋"/>
                <w:spacing w:val="0"/>
                <w:sz w:val="24"/>
                <w:szCs w:val="24"/>
                <w:shd w:val="clear" w:color="FFFFFF" w:fill="D9D9D9"/>
                <w:vertAlign w:val="baseline"/>
                <w:lang w:val="en-US" w:eastAsia="zh-CN"/>
              </w:rPr>
            </w:pPr>
          </w:p>
        </w:tc>
        <w:tc>
          <w:tcPr>
            <w:tcW w:w="1556" w:type="dxa"/>
          </w:tcPr>
          <w:p w14:paraId="55BCB311">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048" w:type="dxa"/>
          </w:tcPr>
          <w:p w14:paraId="71300C9D">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219" w:type="dxa"/>
          </w:tcPr>
          <w:p w14:paraId="35AC3C59">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00" w:type="dxa"/>
          </w:tcPr>
          <w:p w14:paraId="45B9AE20">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99" w:type="dxa"/>
          </w:tcPr>
          <w:p w14:paraId="109EF4A8">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864" w:type="dxa"/>
          </w:tcPr>
          <w:p w14:paraId="39ED3A18">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r>
      <w:tr w14:paraId="25CF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3C0CDDDE">
            <w:pPr>
              <w:widowControl w:val="0"/>
              <w:numPr>
                <w:ilvl w:val="0"/>
                <w:numId w:val="1"/>
              </w:numPr>
              <w:spacing w:before="179" w:line="222" w:lineRule="auto"/>
              <w:ind w:left="425" w:leftChars="0" w:hanging="425" w:firstLineChars="0"/>
              <w:jc w:val="left"/>
              <w:rPr>
                <w:rFonts w:hint="eastAsia" w:ascii="仿宋" w:hAnsi="仿宋" w:eastAsia="仿宋" w:cs="仿宋"/>
                <w:spacing w:val="0"/>
                <w:sz w:val="24"/>
                <w:szCs w:val="24"/>
                <w:shd w:val="clear" w:color="FFFFFF" w:fill="D9D9D9"/>
                <w:vertAlign w:val="baseline"/>
                <w:lang w:val="en-US" w:eastAsia="zh-CN"/>
              </w:rPr>
            </w:pPr>
          </w:p>
        </w:tc>
        <w:tc>
          <w:tcPr>
            <w:tcW w:w="1556" w:type="dxa"/>
          </w:tcPr>
          <w:p w14:paraId="164638A1">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048" w:type="dxa"/>
          </w:tcPr>
          <w:p w14:paraId="1A1030D0">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219" w:type="dxa"/>
          </w:tcPr>
          <w:p w14:paraId="3B5D60C3">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00" w:type="dxa"/>
          </w:tcPr>
          <w:p w14:paraId="54C74609">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99" w:type="dxa"/>
          </w:tcPr>
          <w:p w14:paraId="73DCFEF4">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864" w:type="dxa"/>
          </w:tcPr>
          <w:p w14:paraId="15032C41">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r>
      <w:tr w14:paraId="67C79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1F80F972">
            <w:pPr>
              <w:widowControl w:val="0"/>
              <w:numPr>
                <w:ilvl w:val="0"/>
                <w:numId w:val="1"/>
              </w:numPr>
              <w:spacing w:before="179" w:line="222" w:lineRule="auto"/>
              <w:ind w:left="425" w:leftChars="0" w:hanging="425" w:firstLineChars="0"/>
              <w:jc w:val="left"/>
              <w:rPr>
                <w:rFonts w:hint="eastAsia" w:ascii="仿宋" w:hAnsi="仿宋" w:eastAsia="仿宋" w:cs="仿宋"/>
                <w:spacing w:val="0"/>
                <w:sz w:val="24"/>
                <w:szCs w:val="24"/>
                <w:shd w:val="clear" w:color="FFFFFF" w:fill="D9D9D9"/>
                <w:vertAlign w:val="baseline"/>
                <w:lang w:val="en-US" w:eastAsia="zh-CN"/>
              </w:rPr>
            </w:pPr>
          </w:p>
        </w:tc>
        <w:tc>
          <w:tcPr>
            <w:tcW w:w="1556" w:type="dxa"/>
          </w:tcPr>
          <w:p w14:paraId="028D8610">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048" w:type="dxa"/>
          </w:tcPr>
          <w:p w14:paraId="72576EEF">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219" w:type="dxa"/>
          </w:tcPr>
          <w:p w14:paraId="1DB10471">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00" w:type="dxa"/>
          </w:tcPr>
          <w:p w14:paraId="4A4FC1CC">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99" w:type="dxa"/>
          </w:tcPr>
          <w:p w14:paraId="1B5F808B">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864" w:type="dxa"/>
          </w:tcPr>
          <w:p w14:paraId="22D8A160">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r>
      <w:tr w14:paraId="67F15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center"/>
          </w:tcPr>
          <w:p w14:paraId="2A889358">
            <w:pPr>
              <w:widowControl w:val="0"/>
              <w:numPr>
                <w:ilvl w:val="0"/>
                <w:numId w:val="0"/>
              </w:numPr>
              <w:spacing w:before="179" w:line="222" w:lineRule="auto"/>
              <w:ind w:leftChars="0"/>
              <w:jc w:val="center"/>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w:t>
            </w:r>
          </w:p>
        </w:tc>
        <w:tc>
          <w:tcPr>
            <w:tcW w:w="1556" w:type="dxa"/>
            <w:vAlign w:val="center"/>
          </w:tcPr>
          <w:p w14:paraId="18339E80">
            <w:pPr>
              <w:widowControl w:val="0"/>
              <w:spacing w:before="179" w:line="222" w:lineRule="auto"/>
              <w:jc w:val="center"/>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w:t>
            </w:r>
          </w:p>
        </w:tc>
        <w:tc>
          <w:tcPr>
            <w:tcW w:w="1048" w:type="dxa"/>
            <w:vAlign w:val="center"/>
          </w:tcPr>
          <w:p w14:paraId="338FBC1E">
            <w:pPr>
              <w:widowControl w:val="0"/>
              <w:spacing w:before="179" w:line="222" w:lineRule="auto"/>
              <w:jc w:val="center"/>
              <w:rPr>
                <w:rFonts w:hint="eastAsia" w:ascii="仿宋" w:hAnsi="仿宋" w:eastAsia="仿宋" w:cs="仿宋"/>
                <w:spacing w:val="0"/>
                <w:sz w:val="24"/>
                <w:szCs w:val="24"/>
                <w:shd w:val="clear" w:color="FFFFFF" w:fill="D9D9D9"/>
                <w:vertAlign w:val="baseline"/>
                <w:lang w:val="en-US" w:eastAsia="zh-CN"/>
              </w:rPr>
            </w:pPr>
          </w:p>
        </w:tc>
        <w:tc>
          <w:tcPr>
            <w:tcW w:w="1219" w:type="dxa"/>
            <w:vAlign w:val="center"/>
          </w:tcPr>
          <w:p w14:paraId="29372286">
            <w:pPr>
              <w:widowControl w:val="0"/>
              <w:spacing w:before="179" w:line="222" w:lineRule="auto"/>
              <w:jc w:val="center"/>
              <w:rPr>
                <w:rFonts w:hint="eastAsia" w:ascii="仿宋" w:hAnsi="仿宋" w:eastAsia="仿宋" w:cs="仿宋"/>
                <w:spacing w:val="0"/>
                <w:sz w:val="24"/>
                <w:szCs w:val="24"/>
                <w:shd w:val="clear" w:color="FFFFFF" w:fill="D9D9D9"/>
                <w:vertAlign w:val="baseline"/>
                <w:lang w:val="en-US" w:eastAsia="zh-CN"/>
              </w:rPr>
            </w:pPr>
          </w:p>
        </w:tc>
        <w:tc>
          <w:tcPr>
            <w:tcW w:w="1400" w:type="dxa"/>
          </w:tcPr>
          <w:p w14:paraId="01522266">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99" w:type="dxa"/>
          </w:tcPr>
          <w:p w14:paraId="34B3BDF3">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864" w:type="dxa"/>
          </w:tcPr>
          <w:p w14:paraId="52642B9B">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r>
      <w:tr w14:paraId="4E120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9" w:type="dxa"/>
            <w:gridSpan w:val="4"/>
            <w:vAlign w:val="center"/>
          </w:tcPr>
          <w:p w14:paraId="6D666AB0">
            <w:pPr>
              <w:widowControl w:val="0"/>
              <w:spacing w:before="179" w:line="222" w:lineRule="auto"/>
              <w:jc w:val="center"/>
              <w:rPr>
                <w:rFonts w:hint="eastAsia" w:ascii="仿宋" w:hAnsi="仿宋" w:eastAsia="仿宋" w:cs="仿宋"/>
                <w:spacing w:val="0"/>
                <w:sz w:val="24"/>
                <w:szCs w:val="24"/>
                <w:shd w:val="clear" w:color="FFFFFF" w:fill="D9D9D9"/>
                <w:vertAlign w:val="baseline"/>
                <w:lang w:val="en-US" w:eastAsia="zh-CN"/>
              </w:rPr>
            </w:pPr>
            <w:r>
              <w:rPr>
                <w:rFonts w:hint="eastAsia" w:ascii="仿宋" w:hAnsi="仿宋" w:eastAsia="仿宋" w:cs="仿宋"/>
                <w:spacing w:val="0"/>
                <w:sz w:val="24"/>
                <w:szCs w:val="24"/>
                <w:shd w:val="clear" w:color="auto" w:fill="auto"/>
                <w:vertAlign w:val="baseline"/>
                <w:lang w:val="en-US" w:eastAsia="zh-CN"/>
              </w:rPr>
              <w:t>合计（元）</w:t>
            </w:r>
          </w:p>
        </w:tc>
        <w:tc>
          <w:tcPr>
            <w:tcW w:w="1400" w:type="dxa"/>
          </w:tcPr>
          <w:p w14:paraId="6E1B762F">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1499" w:type="dxa"/>
          </w:tcPr>
          <w:p w14:paraId="18430A35">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c>
          <w:tcPr>
            <w:tcW w:w="864" w:type="dxa"/>
          </w:tcPr>
          <w:p w14:paraId="14E1C4D2">
            <w:pPr>
              <w:widowControl w:val="0"/>
              <w:spacing w:before="179" w:line="222" w:lineRule="auto"/>
              <w:jc w:val="left"/>
              <w:rPr>
                <w:rFonts w:hint="eastAsia" w:ascii="仿宋" w:hAnsi="仿宋" w:eastAsia="仿宋" w:cs="仿宋"/>
                <w:spacing w:val="0"/>
                <w:sz w:val="24"/>
                <w:szCs w:val="24"/>
                <w:shd w:val="clear" w:color="FFFFFF" w:fill="D9D9D9"/>
                <w:vertAlign w:val="baseline"/>
                <w:lang w:val="en-US" w:eastAsia="zh-CN"/>
              </w:rPr>
            </w:pPr>
          </w:p>
        </w:tc>
      </w:tr>
    </w:tbl>
    <w:p w14:paraId="5468D14E">
      <w:pPr>
        <w:spacing w:before="179" w:line="222" w:lineRule="auto"/>
        <w:jc w:val="left"/>
        <w:rPr>
          <w:rFonts w:hint="eastAsia" w:ascii="仿宋" w:hAnsi="仿宋" w:eastAsia="仿宋" w:cs="仿宋"/>
          <w:spacing w:val="0"/>
          <w:sz w:val="24"/>
          <w:szCs w:val="24"/>
          <w:shd w:val="clear" w:color="FFFFFF" w:fill="D9D9D9"/>
          <w:lang w:val="en-US" w:eastAsia="zh-CN"/>
        </w:rPr>
      </w:pPr>
    </w:p>
    <w:p w14:paraId="70A86AB7">
      <w:pPr>
        <w:spacing w:before="78" w:line="222" w:lineRule="auto"/>
        <w:jc w:val="right"/>
        <w:rPr>
          <w:rFonts w:hint="eastAsia" w:ascii="仿宋" w:hAnsi="仿宋" w:eastAsia="仿宋" w:cs="仿宋"/>
          <w:sz w:val="24"/>
          <w:szCs w:val="24"/>
        </w:rPr>
      </w:pPr>
      <w:r>
        <w:rPr>
          <w:rFonts w:hint="eastAsia" w:ascii="仿宋" w:hAnsi="仿宋" w:eastAsia="仿宋" w:cs="仿宋"/>
          <w:spacing w:val="1"/>
          <w:sz w:val="24"/>
          <w:szCs w:val="24"/>
          <w:lang w:val="en-US" w:eastAsia="zh-CN"/>
        </w:rPr>
        <w:t>供应商</w:t>
      </w:r>
      <w:r>
        <w:rPr>
          <w:rFonts w:hint="eastAsia" w:ascii="仿宋" w:hAnsi="仿宋" w:eastAsia="仿宋" w:cs="仿宋"/>
          <w:spacing w:val="-15"/>
          <w:sz w:val="24"/>
          <w:szCs w:val="24"/>
        </w:rPr>
        <w:t>：</w:t>
      </w:r>
      <w:r>
        <w:rPr>
          <w:rFonts w:hint="eastAsia" w:ascii="仿宋" w:hAnsi="仿宋" w:eastAsia="仿宋" w:cs="仿宋"/>
          <w:spacing w:val="-15"/>
          <w:sz w:val="24"/>
          <w:szCs w:val="24"/>
          <w:u w:val="single"/>
          <w:lang w:val="en-US" w:eastAsia="zh-CN"/>
        </w:rPr>
        <w:t xml:space="preserve">                         </w:t>
      </w:r>
      <w:r>
        <w:rPr>
          <w:rFonts w:hint="eastAsia" w:ascii="仿宋" w:hAnsi="仿宋" w:eastAsia="仿宋" w:cs="仿宋"/>
          <w:spacing w:val="-15"/>
          <w:sz w:val="24"/>
          <w:szCs w:val="24"/>
        </w:rPr>
        <w:t>（</w:t>
      </w:r>
      <w:r>
        <w:rPr>
          <w:rFonts w:hint="eastAsia" w:ascii="仿宋" w:hAnsi="仿宋" w:eastAsia="仿宋" w:cs="仿宋"/>
          <w:spacing w:val="1"/>
          <w:sz w:val="24"/>
          <w:szCs w:val="24"/>
        </w:rPr>
        <w:t>公章）</w:t>
      </w:r>
    </w:p>
    <w:p w14:paraId="563D6BC6">
      <w:pPr>
        <w:spacing w:before="176" w:line="222" w:lineRule="auto"/>
        <w:jc w:val="right"/>
        <w:rPr>
          <w:rFonts w:hint="eastAsia" w:ascii="仿宋" w:hAnsi="仿宋" w:eastAsia="仿宋" w:cs="仿宋"/>
          <w:sz w:val="24"/>
          <w:szCs w:val="24"/>
        </w:rPr>
      </w:pPr>
      <w:r>
        <w:rPr>
          <w:rFonts w:hint="eastAsia" w:ascii="仿宋" w:hAnsi="仿宋" w:eastAsia="仿宋" w:cs="仿宋"/>
          <w:sz w:val="24"/>
          <w:szCs w:val="24"/>
        </w:rPr>
        <w:t>法定代表人或被授权人</w:t>
      </w:r>
      <w:r>
        <w:rPr>
          <w:rFonts w:hint="eastAsia" w:ascii="仿宋" w:hAnsi="仿宋" w:eastAsia="仿宋" w:cs="仿宋"/>
          <w:spacing w:val="-13"/>
          <w:sz w:val="24"/>
          <w:szCs w:val="24"/>
        </w:rPr>
        <w:t>：</w:t>
      </w:r>
      <w:r>
        <w:rPr>
          <w:rFonts w:hint="eastAsia" w:ascii="仿宋" w:hAnsi="仿宋" w:eastAsia="仿宋" w:cs="仿宋"/>
          <w:spacing w:val="-15"/>
          <w:sz w:val="24"/>
          <w:szCs w:val="24"/>
          <w:u w:val="single"/>
          <w:lang w:val="en-US" w:eastAsia="zh-CN"/>
        </w:rPr>
        <w:t xml:space="preserve">          </w:t>
      </w:r>
      <w:r>
        <w:rPr>
          <w:rFonts w:hint="eastAsia" w:ascii="仿宋" w:hAnsi="仿宋" w:eastAsia="仿宋" w:cs="仿宋"/>
          <w:spacing w:val="-13"/>
          <w:sz w:val="24"/>
          <w:szCs w:val="24"/>
        </w:rPr>
        <w:t>（</w:t>
      </w:r>
      <w:r>
        <w:rPr>
          <w:rFonts w:hint="eastAsia" w:ascii="仿宋" w:hAnsi="仿宋" w:eastAsia="仿宋" w:cs="仿宋"/>
          <w:sz w:val="24"/>
          <w:szCs w:val="24"/>
        </w:rPr>
        <w:t>签字或盖章）</w:t>
      </w:r>
    </w:p>
    <w:p w14:paraId="000DD298">
      <w:pPr>
        <w:wordWrap w:val="0"/>
        <w:spacing w:before="78" w:line="222" w:lineRule="auto"/>
        <w:jc w:val="right"/>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t xml:space="preserve">日期：     年       月      日 </w:t>
      </w:r>
    </w:p>
    <w:p w14:paraId="26C66932">
      <w:pPr>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br w:type="page"/>
      </w:r>
    </w:p>
    <w:p w14:paraId="05094328">
      <w:pPr>
        <w:pStyle w:val="13"/>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服务条款响应偏离表（格式）</w:t>
      </w:r>
    </w:p>
    <w:p w14:paraId="46371CB0">
      <w:pPr>
        <w:pStyle w:val="13"/>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rPr>
      </w:pPr>
    </w:p>
    <w:p w14:paraId="1B3A0295">
      <w:pPr>
        <w:spacing w:line="600" w:lineRule="exact"/>
        <w:jc w:val="center"/>
        <w:rPr>
          <w:rFonts w:hint="eastAsia" w:ascii="仿宋" w:hAnsi="仿宋" w:eastAsia="仿宋" w:cs="仿宋"/>
          <w:b w:val="0"/>
          <w:bCs/>
          <w:color w:val="auto"/>
          <w:sz w:val="34"/>
          <w:szCs w:val="34"/>
        </w:rPr>
      </w:pPr>
      <w:r>
        <w:rPr>
          <w:rFonts w:hint="eastAsia" w:ascii="仿宋" w:hAnsi="仿宋" w:eastAsia="仿宋" w:cs="仿宋"/>
          <w:b/>
          <w:bCs w:val="0"/>
          <w:color w:val="auto"/>
          <w:sz w:val="34"/>
          <w:szCs w:val="34"/>
        </w:rPr>
        <w:t>服务条款响应偏离表（格式）</w:t>
      </w:r>
    </w:p>
    <w:p w14:paraId="30E08203">
      <w:pPr>
        <w:spacing w:line="240" w:lineRule="exact"/>
        <w:ind w:left="210" w:leftChars="100"/>
        <w:rPr>
          <w:rFonts w:hint="eastAsia" w:ascii="仿宋" w:hAnsi="仿宋" w:eastAsia="仿宋" w:cs="仿宋"/>
          <w:b w:val="0"/>
          <w:bCs/>
          <w:color w:val="auto"/>
          <w:sz w:val="24"/>
        </w:rPr>
      </w:pPr>
    </w:p>
    <w:p w14:paraId="7888C6EE">
      <w:pPr>
        <w:spacing w:line="480" w:lineRule="exact"/>
        <w:rPr>
          <w:rFonts w:hint="eastAsia" w:ascii="仿宋" w:hAnsi="仿宋" w:eastAsia="仿宋" w:cs="仿宋"/>
          <w:b w:val="0"/>
          <w:bCs/>
          <w:color w:val="auto"/>
          <w:sz w:val="24"/>
        </w:rPr>
      </w:pPr>
      <w:r>
        <w:rPr>
          <w:rFonts w:hint="eastAsia" w:ascii="仿宋" w:hAnsi="仿宋" w:eastAsia="仿宋" w:cs="仿宋"/>
          <w:b w:val="0"/>
          <w:bCs/>
          <w:color w:val="auto"/>
          <w:sz w:val="24"/>
        </w:rPr>
        <w:t>供应商名称：</w:t>
      </w:r>
      <w:r>
        <w:rPr>
          <w:rFonts w:hint="eastAsia" w:ascii="仿宋" w:hAnsi="仿宋" w:eastAsia="仿宋" w:cs="仿宋"/>
          <w:b w:val="0"/>
          <w:bCs/>
          <w:color w:val="auto"/>
          <w:sz w:val="24"/>
          <w:u w:val="single"/>
        </w:rPr>
        <w:t xml:space="preserve">              </w:t>
      </w:r>
      <w:r>
        <w:rPr>
          <w:rFonts w:hint="eastAsia" w:ascii="仿宋" w:hAnsi="仿宋" w:eastAsia="仿宋" w:cs="仿宋"/>
          <w:b w:val="0"/>
          <w:bCs/>
          <w:color w:val="auto"/>
          <w:sz w:val="24"/>
        </w:rPr>
        <w:t>(供应商单位公章)       项目编号：</w:t>
      </w:r>
      <w:r>
        <w:rPr>
          <w:rFonts w:hint="eastAsia" w:ascii="仿宋" w:hAnsi="仿宋" w:eastAsia="仿宋" w:cs="仿宋"/>
          <w:b w:val="0"/>
          <w:bCs/>
          <w:color w:val="auto"/>
          <w:sz w:val="24"/>
          <w:u w:val="single"/>
        </w:rPr>
        <w:t xml:space="preserve">             </w:t>
      </w:r>
    </w:p>
    <w:tbl>
      <w:tblPr>
        <w:tblStyle w:val="10"/>
        <w:tblW w:w="9571"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2336"/>
        <w:gridCol w:w="3119"/>
        <w:gridCol w:w="1479"/>
        <w:gridCol w:w="1324"/>
      </w:tblGrid>
      <w:tr w14:paraId="33B9FE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3A9A9221">
            <w:pPr>
              <w:spacing w:line="320" w:lineRule="exact"/>
              <w:ind w:left="-97" w:leftChars="-46"/>
              <w:jc w:val="center"/>
              <w:rPr>
                <w:rFonts w:hint="eastAsia" w:ascii="仿宋" w:hAnsi="仿宋" w:eastAsia="仿宋" w:cs="仿宋"/>
                <w:b w:val="0"/>
                <w:bCs/>
                <w:color w:val="auto"/>
                <w:sz w:val="24"/>
              </w:rPr>
            </w:pPr>
            <w:r>
              <w:rPr>
                <w:rFonts w:hint="eastAsia" w:ascii="仿宋" w:hAnsi="仿宋" w:eastAsia="仿宋" w:cs="仿宋"/>
                <w:b w:val="0"/>
                <w:bCs/>
                <w:color w:val="auto"/>
                <w:sz w:val="24"/>
              </w:rPr>
              <w:t xml:space="preserve"> 序号</w:t>
            </w:r>
          </w:p>
        </w:tc>
        <w:tc>
          <w:tcPr>
            <w:tcW w:w="2336" w:type="dxa"/>
            <w:noWrap w:val="0"/>
            <w:tcMar>
              <w:top w:w="57" w:type="dxa"/>
              <w:left w:w="28" w:type="dxa"/>
              <w:bottom w:w="57" w:type="dxa"/>
              <w:right w:w="28" w:type="dxa"/>
            </w:tcMar>
            <w:vAlign w:val="center"/>
          </w:tcPr>
          <w:p w14:paraId="74525C00">
            <w:pPr>
              <w:spacing w:line="320" w:lineRule="exact"/>
              <w:ind w:left="210" w:leftChars="100"/>
              <w:jc w:val="center"/>
              <w:rPr>
                <w:rFonts w:hint="eastAsia" w:ascii="仿宋" w:hAnsi="仿宋" w:eastAsia="仿宋" w:cs="仿宋"/>
                <w:b w:val="0"/>
                <w:bCs/>
                <w:color w:val="auto"/>
                <w:sz w:val="24"/>
              </w:rPr>
            </w:pPr>
            <w:r>
              <w:rPr>
                <w:rFonts w:hint="eastAsia" w:ascii="仿宋" w:hAnsi="仿宋" w:eastAsia="仿宋" w:cs="仿宋"/>
                <w:b w:val="0"/>
                <w:bCs/>
                <w:color w:val="auto"/>
                <w:sz w:val="24"/>
                <w:lang w:eastAsia="zh-CN"/>
              </w:rPr>
              <w:t>竞争性</w:t>
            </w:r>
            <w:r>
              <w:rPr>
                <w:rFonts w:hint="eastAsia" w:ascii="仿宋" w:hAnsi="仿宋" w:eastAsia="仿宋" w:cs="仿宋"/>
                <w:b w:val="0"/>
                <w:bCs/>
                <w:color w:val="auto"/>
                <w:sz w:val="24"/>
              </w:rPr>
              <w:t>磋商文件服务</w:t>
            </w:r>
            <w:r>
              <w:rPr>
                <w:rFonts w:hint="eastAsia" w:ascii="仿宋" w:hAnsi="仿宋" w:eastAsia="仿宋" w:cs="仿宋"/>
                <w:b w:val="0"/>
                <w:bCs/>
                <w:color w:val="auto"/>
                <w:sz w:val="24"/>
                <w:lang w:eastAsia="zh-CN"/>
              </w:rPr>
              <w:t>内容及</w:t>
            </w:r>
            <w:r>
              <w:rPr>
                <w:rFonts w:hint="eastAsia" w:ascii="仿宋" w:hAnsi="仿宋" w:eastAsia="仿宋" w:cs="仿宋"/>
                <w:b w:val="0"/>
                <w:bCs/>
                <w:color w:val="auto"/>
                <w:sz w:val="24"/>
              </w:rPr>
              <w:t>要求</w:t>
            </w:r>
          </w:p>
        </w:tc>
        <w:tc>
          <w:tcPr>
            <w:tcW w:w="3119" w:type="dxa"/>
            <w:noWrap w:val="0"/>
            <w:tcMar>
              <w:top w:w="57" w:type="dxa"/>
              <w:left w:w="28" w:type="dxa"/>
              <w:bottom w:w="57" w:type="dxa"/>
              <w:right w:w="28" w:type="dxa"/>
            </w:tcMar>
            <w:vAlign w:val="center"/>
          </w:tcPr>
          <w:p w14:paraId="17B50D40">
            <w:pPr>
              <w:spacing w:line="320" w:lineRule="exact"/>
              <w:ind w:left="210" w:leftChars="100"/>
              <w:jc w:val="center"/>
              <w:rPr>
                <w:rFonts w:hint="eastAsia" w:ascii="仿宋" w:hAnsi="仿宋" w:eastAsia="仿宋" w:cs="仿宋"/>
                <w:b w:val="0"/>
                <w:bCs/>
                <w:color w:val="auto"/>
                <w:sz w:val="24"/>
                <w:lang w:eastAsia="zh-CN"/>
              </w:rPr>
            </w:pPr>
            <w:r>
              <w:rPr>
                <w:rFonts w:hint="eastAsia" w:ascii="仿宋" w:hAnsi="仿宋" w:eastAsia="仿宋" w:cs="仿宋"/>
                <w:b w:val="0"/>
                <w:bCs/>
                <w:color w:val="auto"/>
                <w:sz w:val="24"/>
                <w:lang w:val="en-US" w:eastAsia="zh-CN"/>
              </w:rPr>
              <w:t>竞争性磋商响应</w:t>
            </w:r>
            <w:r>
              <w:rPr>
                <w:rFonts w:hint="eastAsia" w:ascii="仿宋" w:hAnsi="仿宋" w:eastAsia="仿宋" w:cs="仿宋"/>
                <w:b w:val="0"/>
                <w:bCs/>
                <w:color w:val="auto"/>
                <w:sz w:val="24"/>
              </w:rPr>
              <w:t>文件</w:t>
            </w:r>
            <w:r>
              <w:rPr>
                <w:rFonts w:hint="eastAsia" w:ascii="仿宋" w:hAnsi="仿宋" w:eastAsia="仿宋" w:cs="仿宋"/>
                <w:b w:val="0"/>
                <w:bCs/>
                <w:color w:val="auto"/>
                <w:sz w:val="24"/>
                <w:lang w:val="en-US" w:eastAsia="zh-CN"/>
              </w:rPr>
              <w:t>服务内容</w:t>
            </w:r>
            <w:r>
              <w:rPr>
                <w:rFonts w:hint="eastAsia" w:ascii="仿宋" w:hAnsi="仿宋" w:eastAsia="仿宋" w:cs="仿宋"/>
                <w:b w:val="0"/>
                <w:bCs/>
                <w:color w:val="auto"/>
                <w:sz w:val="24"/>
              </w:rPr>
              <w:t>响应</w:t>
            </w:r>
          </w:p>
        </w:tc>
        <w:tc>
          <w:tcPr>
            <w:tcW w:w="1479" w:type="dxa"/>
            <w:noWrap w:val="0"/>
            <w:tcMar>
              <w:top w:w="57" w:type="dxa"/>
              <w:left w:w="28" w:type="dxa"/>
              <w:bottom w:w="57" w:type="dxa"/>
              <w:right w:w="28" w:type="dxa"/>
            </w:tcMar>
            <w:vAlign w:val="center"/>
          </w:tcPr>
          <w:p w14:paraId="40A6AF15">
            <w:pPr>
              <w:spacing w:line="320" w:lineRule="exact"/>
              <w:jc w:val="center"/>
              <w:rPr>
                <w:rFonts w:hint="eastAsia" w:ascii="仿宋" w:hAnsi="仿宋" w:eastAsia="仿宋" w:cs="仿宋"/>
                <w:b w:val="0"/>
                <w:bCs/>
                <w:color w:val="auto"/>
                <w:sz w:val="24"/>
              </w:rPr>
            </w:pPr>
            <w:r>
              <w:rPr>
                <w:rFonts w:hint="eastAsia" w:ascii="仿宋" w:hAnsi="仿宋" w:eastAsia="仿宋" w:cs="仿宋"/>
                <w:b w:val="0"/>
                <w:bCs/>
                <w:color w:val="auto"/>
                <w:sz w:val="24"/>
                <w:lang w:eastAsia="zh-CN"/>
              </w:rPr>
              <w:t>响应情况</w:t>
            </w:r>
          </w:p>
        </w:tc>
        <w:tc>
          <w:tcPr>
            <w:tcW w:w="1324" w:type="dxa"/>
            <w:noWrap w:val="0"/>
            <w:vAlign w:val="center"/>
          </w:tcPr>
          <w:p w14:paraId="782BF567">
            <w:pPr>
              <w:spacing w:line="320" w:lineRule="exact"/>
              <w:jc w:val="center"/>
              <w:rPr>
                <w:rFonts w:hint="eastAsia" w:ascii="仿宋" w:hAnsi="仿宋" w:eastAsia="仿宋" w:cs="仿宋"/>
                <w:b w:val="0"/>
                <w:bCs/>
                <w:color w:val="auto"/>
                <w:sz w:val="24"/>
              </w:rPr>
            </w:pPr>
            <w:r>
              <w:rPr>
                <w:rFonts w:hint="eastAsia" w:ascii="仿宋" w:hAnsi="仿宋" w:eastAsia="仿宋" w:cs="仿宋"/>
                <w:b w:val="0"/>
                <w:bCs/>
                <w:color w:val="auto"/>
                <w:sz w:val="24"/>
              </w:rPr>
              <w:t>响应说明</w:t>
            </w:r>
          </w:p>
        </w:tc>
      </w:tr>
      <w:tr w14:paraId="0619394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313" w:type="dxa"/>
            <w:tcBorders>
              <w:bottom w:val="single" w:color="auto" w:sz="4" w:space="0"/>
            </w:tcBorders>
            <w:noWrap w:val="0"/>
            <w:tcMar>
              <w:top w:w="57" w:type="dxa"/>
              <w:left w:w="28" w:type="dxa"/>
              <w:bottom w:w="57" w:type="dxa"/>
              <w:right w:w="28" w:type="dxa"/>
            </w:tcMar>
            <w:vAlign w:val="center"/>
          </w:tcPr>
          <w:p w14:paraId="29BAFEA0">
            <w:pPr>
              <w:spacing w:line="480" w:lineRule="exact"/>
              <w:ind w:left="210" w:leftChars="100"/>
              <w:rPr>
                <w:rFonts w:hint="eastAsia" w:ascii="仿宋" w:hAnsi="仿宋" w:eastAsia="仿宋" w:cs="仿宋"/>
                <w:b w:val="0"/>
                <w:bCs/>
                <w:color w:val="auto"/>
                <w:sz w:val="24"/>
              </w:rPr>
            </w:pPr>
          </w:p>
        </w:tc>
        <w:tc>
          <w:tcPr>
            <w:tcW w:w="2336" w:type="dxa"/>
            <w:tcBorders>
              <w:bottom w:val="single" w:color="auto" w:sz="4" w:space="0"/>
            </w:tcBorders>
            <w:noWrap w:val="0"/>
            <w:tcMar>
              <w:top w:w="57" w:type="dxa"/>
              <w:left w:w="28" w:type="dxa"/>
              <w:bottom w:w="57" w:type="dxa"/>
              <w:right w:w="28" w:type="dxa"/>
            </w:tcMar>
            <w:vAlign w:val="center"/>
          </w:tcPr>
          <w:p w14:paraId="06E993EA">
            <w:pPr>
              <w:spacing w:line="480" w:lineRule="exact"/>
              <w:ind w:left="210" w:leftChars="100"/>
              <w:rPr>
                <w:rFonts w:hint="eastAsia" w:ascii="仿宋" w:hAnsi="仿宋" w:eastAsia="仿宋" w:cs="仿宋"/>
                <w:b w:val="0"/>
                <w:bCs/>
                <w:color w:val="auto"/>
                <w:sz w:val="24"/>
              </w:rPr>
            </w:pPr>
          </w:p>
        </w:tc>
        <w:tc>
          <w:tcPr>
            <w:tcW w:w="3119" w:type="dxa"/>
            <w:tcBorders>
              <w:bottom w:val="single" w:color="auto" w:sz="4" w:space="0"/>
            </w:tcBorders>
            <w:noWrap w:val="0"/>
            <w:tcMar>
              <w:top w:w="57" w:type="dxa"/>
              <w:left w:w="28" w:type="dxa"/>
              <w:bottom w:w="57" w:type="dxa"/>
              <w:right w:w="28" w:type="dxa"/>
            </w:tcMar>
            <w:vAlign w:val="center"/>
          </w:tcPr>
          <w:p w14:paraId="01A84EB8">
            <w:pPr>
              <w:spacing w:line="480" w:lineRule="exact"/>
              <w:ind w:left="210" w:leftChars="100"/>
              <w:rPr>
                <w:rFonts w:hint="eastAsia" w:ascii="仿宋" w:hAnsi="仿宋" w:eastAsia="仿宋" w:cs="仿宋"/>
                <w:b w:val="0"/>
                <w:bCs/>
                <w:color w:val="auto"/>
                <w:sz w:val="24"/>
              </w:rPr>
            </w:pPr>
          </w:p>
        </w:tc>
        <w:tc>
          <w:tcPr>
            <w:tcW w:w="1479" w:type="dxa"/>
            <w:tcBorders>
              <w:bottom w:val="single" w:color="auto" w:sz="4" w:space="0"/>
            </w:tcBorders>
            <w:noWrap w:val="0"/>
            <w:tcMar>
              <w:top w:w="57" w:type="dxa"/>
              <w:left w:w="28" w:type="dxa"/>
              <w:bottom w:w="57" w:type="dxa"/>
              <w:right w:w="28" w:type="dxa"/>
            </w:tcMar>
            <w:vAlign w:val="center"/>
          </w:tcPr>
          <w:p w14:paraId="4E4A43BD">
            <w:pPr>
              <w:jc w:val="center"/>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sz w:val="24"/>
                <w:szCs w:val="24"/>
                <w:highlight w:val="none"/>
              </w:rPr>
              <w:t>按实际响应情况填写“正偏离”、“负偏离”</w:t>
            </w:r>
          </w:p>
        </w:tc>
        <w:tc>
          <w:tcPr>
            <w:tcW w:w="1324" w:type="dxa"/>
            <w:tcBorders>
              <w:bottom w:val="single" w:color="auto" w:sz="4" w:space="0"/>
            </w:tcBorders>
            <w:noWrap w:val="0"/>
            <w:vAlign w:val="center"/>
          </w:tcPr>
          <w:p w14:paraId="23ECB2BD">
            <w:pPr>
              <w:jc w:val="center"/>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sz w:val="24"/>
                <w:szCs w:val="24"/>
                <w:highlight w:val="none"/>
              </w:rPr>
              <w:t>如有正负偏离情况在此列详细说明</w:t>
            </w:r>
          </w:p>
        </w:tc>
      </w:tr>
      <w:tr w14:paraId="4CBD46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313" w:type="dxa"/>
            <w:tcBorders>
              <w:bottom w:val="single" w:color="auto" w:sz="4" w:space="0"/>
            </w:tcBorders>
            <w:noWrap w:val="0"/>
            <w:tcMar>
              <w:top w:w="57" w:type="dxa"/>
              <w:left w:w="28" w:type="dxa"/>
              <w:bottom w:w="57" w:type="dxa"/>
              <w:right w:w="28" w:type="dxa"/>
            </w:tcMar>
            <w:vAlign w:val="center"/>
          </w:tcPr>
          <w:p w14:paraId="25421033">
            <w:pPr>
              <w:spacing w:line="480" w:lineRule="exact"/>
              <w:ind w:left="210" w:leftChars="100"/>
              <w:rPr>
                <w:rFonts w:hint="eastAsia" w:ascii="仿宋" w:hAnsi="仿宋" w:eastAsia="仿宋" w:cs="仿宋"/>
                <w:b w:val="0"/>
                <w:bCs/>
                <w:color w:val="auto"/>
                <w:sz w:val="24"/>
              </w:rPr>
            </w:pPr>
          </w:p>
        </w:tc>
        <w:tc>
          <w:tcPr>
            <w:tcW w:w="2336" w:type="dxa"/>
            <w:tcBorders>
              <w:bottom w:val="single" w:color="auto" w:sz="4" w:space="0"/>
            </w:tcBorders>
            <w:noWrap w:val="0"/>
            <w:tcMar>
              <w:top w:w="57" w:type="dxa"/>
              <w:left w:w="28" w:type="dxa"/>
              <w:bottom w:w="57" w:type="dxa"/>
              <w:right w:w="28" w:type="dxa"/>
            </w:tcMar>
            <w:vAlign w:val="center"/>
          </w:tcPr>
          <w:p w14:paraId="1B2D2EBC">
            <w:pPr>
              <w:spacing w:line="480" w:lineRule="exact"/>
              <w:ind w:left="210" w:leftChars="100"/>
              <w:rPr>
                <w:rFonts w:hint="eastAsia" w:ascii="仿宋" w:hAnsi="仿宋" w:eastAsia="仿宋" w:cs="仿宋"/>
                <w:b w:val="0"/>
                <w:bCs/>
                <w:color w:val="auto"/>
                <w:sz w:val="24"/>
              </w:rPr>
            </w:pPr>
          </w:p>
        </w:tc>
        <w:tc>
          <w:tcPr>
            <w:tcW w:w="3119" w:type="dxa"/>
            <w:tcBorders>
              <w:bottom w:val="single" w:color="auto" w:sz="4" w:space="0"/>
            </w:tcBorders>
            <w:noWrap w:val="0"/>
            <w:tcMar>
              <w:top w:w="57" w:type="dxa"/>
              <w:left w:w="28" w:type="dxa"/>
              <w:bottom w:w="57" w:type="dxa"/>
              <w:right w:w="28" w:type="dxa"/>
            </w:tcMar>
            <w:vAlign w:val="center"/>
          </w:tcPr>
          <w:p w14:paraId="105283B7">
            <w:pPr>
              <w:spacing w:line="480" w:lineRule="exact"/>
              <w:ind w:left="210" w:leftChars="100"/>
              <w:rPr>
                <w:rFonts w:hint="eastAsia" w:ascii="仿宋" w:hAnsi="仿宋" w:eastAsia="仿宋" w:cs="仿宋"/>
                <w:b w:val="0"/>
                <w:bCs/>
                <w:color w:val="auto"/>
                <w:sz w:val="24"/>
              </w:rPr>
            </w:pPr>
          </w:p>
        </w:tc>
        <w:tc>
          <w:tcPr>
            <w:tcW w:w="1479" w:type="dxa"/>
            <w:tcBorders>
              <w:bottom w:val="single" w:color="auto" w:sz="4" w:space="0"/>
            </w:tcBorders>
            <w:noWrap w:val="0"/>
            <w:tcMar>
              <w:top w:w="57" w:type="dxa"/>
              <w:left w:w="28" w:type="dxa"/>
              <w:bottom w:w="57" w:type="dxa"/>
              <w:right w:w="28" w:type="dxa"/>
            </w:tcMar>
            <w:vAlign w:val="center"/>
          </w:tcPr>
          <w:p w14:paraId="236E981E">
            <w:pPr>
              <w:spacing w:line="480" w:lineRule="exact"/>
              <w:ind w:left="210" w:leftChars="100"/>
              <w:rPr>
                <w:rFonts w:hint="eastAsia" w:ascii="仿宋" w:hAnsi="仿宋" w:eastAsia="仿宋" w:cs="仿宋"/>
                <w:b w:val="0"/>
                <w:bCs/>
                <w:color w:val="auto"/>
                <w:sz w:val="24"/>
              </w:rPr>
            </w:pPr>
          </w:p>
        </w:tc>
        <w:tc>
          <w:tcPr>
            <w:tcW w:w="1324" w:type="dxa"/>
            <w:tcBorders>
              <w:bottom w:val="single" w:color="auto" w:sz="4" w:space="0"/>
            </w:tcBorders>
            <w:noWrap w:val="0"/>
            <w:vAlign w:val="center"/>
          </w:tcPr>
          <w:p w14:paraId="6790424B">
            <w:pPr>
              <w:spacing w:line="480" w:lineRule="exact"/>
              <w:ind w:left="210" w:leftChars="100"/>
              <w:rPr>
                <w:rFonts w:hint="eastAsia" w:ascii="仿宋" w:hAnsi="仿宋" w:eastAsia="仿宋" w:cs="仿宋"/>
                <w:b w:val="0"/>
                <w:bCs/>
                <w:color w:val="auto"/>
                <w:sz w:val="24"/>
              </w:rPr>
            </w:pPr>
          </w:p>
        </w:tc>
      </w:tr>
      <w:tr w14:paraId="39D222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5DECADBF">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0B341595">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2911B655">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70ECC1A5">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596E8D23">
            <w:pPr>
              <w:spacing w:line="480" w:lineRule="exact"/>
              <w:ind w:left="210" w:leftChars="100"/>
              <w:rPr>
                <w:rFonts w:hint="eastAsia" w:ascii="仿宋" w:hAnsi="仿宋" w:eastAsia="仿宋" w:cs="仿宋"/>
                <w:b w:val="0"/>
                <w:bCs/>
                <w:color w:val="auto"/>
                <w:sz w:val="24"/>
              </w:rPr>
            </w:pPr>
          </w:p>
        </w:tc>
      </w:tr>
      <w:tr w14:paraId="4F6067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47F6A763">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20560583">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1B61C574">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0450604B">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3D41AA0A">
            <w:pPr>
              <w:spacing w:line="480" w:lineRule="exact"/>
              <w:ind w:left="210" w:leftChars="100"/>
              <w:rPr>
                <w:rFonts w:hint="eastAsia" w:ascii="仿宋" w:hAnsi="仿宋" w:eastAsia="仿宋" w:cs="仿宋"/>
                <w:b w:val="0"/>
                <w:bCs/>
                <w:color w:val="auto"/>
                <w:sz w:val="24"/>
              </w:rPr>
            </w:pPr>
          </w:p>
        </w:tc>
      </w:tr>
      <w:tr w14:paraId="23E0AC2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2D3C1A07">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5FD74F1B">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5352A2DC">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3FC2739C">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5C08DD0A">
            <w:pPr>
              <w:spacing w:line="480" w:lineRule="exact"/>
              <w:ind w:left="210" w:leftChars="100"/>
              <w:rPr>
                <w:rFonts w:hint="eastAsia" w:ascii="仿宋" w:hAnsi="仿宋" w:eastAsia="仿宋" w:cs="仿宋"/>
                <w:b w:val="0"/>
                <w:bCs/>
                <w:color w:val="auto"/>
                <w:sz w:val="24"/>
              </w:rPr>
            </w:pPr>
          </w:p>
        </w:tc>
      </w:tr>
      <w:tr w14:paraId="397F32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2A5FF666">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140635F7">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4CD616F8">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2C142DD2">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64696D72">
            <w:pPr>
              <w:spacing w:line="480" w:lineRule="exact"/>
              <w:ind w:left="210" w:leftChars="100"/>
              <w:rPr>
                <w:rFonts w:hint="eastAsia" w:ascii="仿宋" w:hAnsi="仿宋" w:eastAsia="仿宋" w:cs="仿宋"/>
                <w:b w:val="0"/>
                <w:bCs/>
                <w:color w:val="auto"/>
                <w:sz w:val="24"/>
              </w:rPr>
            </w:pPr>
          </w:p>
        </w:tc>
      </w:tr>
      <w:tr w14:paraId="46B36A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0C23F721">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794B57CE">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093E605C">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22C5B865">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3D638C9F">
            <w:pPr>
              <w:spacing w:line="480" w:lineRule="exact"/>
              <w:ind w:left="210" w:leftChars="100"/>
              <w:rPr>
                <w:rFonts w:hint="eastAsia" w:ascii="仿宋" w:hAnsi="仿宋" w:eastAsia="仿宋" w:cs="仿宋"/>
                <w:b w:val="0"/>
                <w:bCs/>
                <w:color w:val="auto"/>
                <w:sz w:val="24"/>
              </w:rPr>
            </w:pPr>
          </w:p>
        </w:tc>
      </w:tr>
      <w:tr w14:paraId="1DFEF0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723FFCC3">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44594125">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248AC7A0">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5004E5E6">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240A1DFE">
            <w:pPr>
              <w:spacing w:line="480" w:lineRule="exact"/>
              <w:ind w:left="210" w:leftChars="100"/>
              <w:rPr>
                <w:rFonts w:hint="eastAsia" w:ascii="仿宋" w:hAnsi="仿宋" w:eastAsia="仿宋" w:cs="仿宋"/>
                <w:b w:val="0"/>
                <w:bCs/>
                <w:color w:val="auto"/>
                <w:sz w:val="24"/>
              </w:rPr>
            </w:pPr>
          </w:p>
        </w:tc>
      </w:tr>
      <w:tr w14:paraId="55181D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2D3F6037">
            <w:pPr>
              <w:spacing w:line="480" w:lineRule="exact"/>
              <w:ind w:left="210" w:leftChars="100"/>
              <w:rPr>
                <w:rFonts w:hint="eastAsia" w:ascii="仿宋" w:hAnsi="仿宋" w:eastAsia="仿宋" w:cs="仿宋"/>
                <w:b w:val="0"/>
                <w:bCs/>
                <w:color w:val="auto"/>
                <w:sz w:val="24"/>
              </w:rPr>
            </w:pPr>
          </w:p>
        </w:tc>
        <w:tc>
          <w:tcPr>
            <w:tcW w:w="2336" w:type="dxa"/>
            <w:noWrap w:val="0"/>
            <w:tcMar>
              <w:top w:w="57" w:type="dxa"/>
              <w:left w:w="28" w:type="dxa"/>
              <w:bottom w:w="57" w:type="dxa"/>
              <w:right w:w="28" w:type="dxa"/>
            </w:tcMar>
            <w:vAlign w:val="center"/>
          </w:tcPr>
          <w:p w14:paraId="1B9DD5AA">
            <w:pPr>
              <w:spacing w:line="480" w:lineRule="exact"/>
              <w:ind w:left="210" w:leftChars="100"/>
              <w:rPr>
                <w:rFonts w:hint="eastAsia" w:ascii="仿宋" w:hAnsi="仿宋" w:eastAsia="仿宋" w:cs="仿宋"/>
                <w:b w:val="0"/>
                <w:bCs/>
                <w:color w:val="auto"/>
                <w:sz w:val="24"/>
              </w:rPr>
            </w:pPr>
          </w:p>
        </w:tc>
        <w:tc>
          <w:tcPr>
            <w:tcW w:w="3119" w:type="dxa"/>
            <w:noWrap w:val="0"/>
            <w:tcMar>
              <w:top w:w="57" w:type="dxa"/>
              <w:left w:w="28" w:type="dxa"/>
              <w:bottom w:w="57" w:type="dxa"/>
              <w:right w:w="28" w:type="dxa"/>
            </w:tcMar>
            <w:vAlign w:val="center"/>
          </w:tcPr>
          <w:p w14:paraId="4CAD6EC0">
            <w:pPr>
              <w:spacing w:line="480" w:lineRule="exact"/>
              <w:ind w:left="210" w:leftChars="100"/>
              <w:rPr>
                <w:rFonts w:hint="eastAsia" w:ascii="仿宋" w:hAnsi="仿宋" w:eastAsia="仿宋" w:cs="仿宋"/>
                <w:b w:val="0"/>
                <w:bCs/>
                <w:color w:val="auto"/>
                <w:sz w:val="24"/>
              </w:rPr>
            </w:pPr>
          </w:p>
        </w:tc>
        <w:tc>
          <w:tcPr>
            <w:tcW w:w="1479" w:type="dxa"/>
            <w:noWrap w:val="0"/>
            <w:tcMar>
              <w:top w:w="57" w:type="dxa"/>
              <w:left w:w="28" w:type="dxa"/>
              <w:bottom w:w="57" w:type="dxa"/>
              <w:right w:w="28" w:type="dxa"/>
            </w:tcMar>
            <w:vAlign w:val="center"/>
          </w:tcPr>
          <w:p w14:paraId="73A8834B">
            <w:pPr>
              <w:spacing w:line="480" w:lineRule="exact"/>
              <w:ind w:left="210" w:leftChars="100"/>
              <w:rPr>
                <w:rFonts w:hint="eastAsia" w:ascii="仿宋" w:hAnsi="仿宋" w:eastAsia="仿宋" w:cs="仿宋"/>
                <w:b w:val="0"/>
                <w:bCs/>
                <w:color w:val="auto"/>
                <w:sz w:val="24"/>
              </w:rPr>
            </w:pPr>
          </w:p>
        </w:tc>
        <w:tc>
          <w:tcPr>
            <w:tcW w:w="1324" w:type="dxa"/>
            <w:noWrap w:val="0"/>
            <w:vAlign w:val="center"/>
          </w:tcPr>
          <w:p w14:paraId="520606C7">
            <w:pPr>
              <w:spacing w:line="480" w:lineRule="exact"/>
              <w:ind w:left="210" w:leftChars="100"/>
              <w:rPr>
                <w:rFonts w:hint="eastAsia" w:ascii="仿宋" w:hAnsi="仿宋" w:eastAsia="仿宋" w:cs="仿宋"/>
                <w:b w:val="0"/>
                <w:bCs/>
                <w:color w:val="auto"/>
                <w:sz w:val="24"/>
              </w:rPr>
            </w:pPr>
          </w:p>
        </w:tc>
      </w:tr>
    </w:tbl>
    <w:p w14:paraId="16300DB9">
      <w:pPr>
        <w:spacing w:line="440" w:lineRule="exact"/>
        <w:ind w:firstLine="360" w:firstLineChars="150"/>
        <w:rPr>
          <w:rFonts w:hint="eastAsia" w:ascii="仿宋" w:hAnsi="仿宋" w:eastAsia="仿宋" w:cs="仿宋"/>
          <w:b w:val="0"/>
          <w:bCs/>
          <w:color w:val="auto"/>
          <w:sz w:val="24"/>
        </w:rPr>
      </w:pPr>
    </w:p>
    <w:p w14:paraId="7CC91E54">
      <w:pPr>
        <w:spacing w:line="440" w:lineRule="exact"/>
        <w:rPr>
          <w:rFonts w:hint="eastAsia" w:ascii="仿宋" w:hAnsi="仿宋" w:eastAsia="仿宋" w:cs="仿宋"/>
          <w:b w:val="0"/>
          <w:bCs/>
          <w:color w:val="auto"/>
          <w:sz w:val="24"/>
        </w:rPr>
      </w:pPr>
      <w:r>
        <w:rPr>
          <w:rFonts w:hint="eastAsia" w:ascii="仿宋" w:hAnsi="仿宋" w:eastAsia="仿宋" w:cs="仿宋"/>
          <w:b w:val="0"/>
          <w:bCs/>
          <w:color w:val="auto"/>
          <w:sz w:val="24"/>
        </w:rPr>
        <w:t>备注:</w:t>
      </w:r>
    </w:p>
    <w:p w14:paraId="397EDB01">
      <w:pPr>
        <w:spacing w:line="440" w:lineRule="exact"/>
        <w:ind w:firstLine="480" w:firstLineChars="200"/>
        <w:rPr>
          <w:rFonts w:hint="eastAsia" w:ascii="仿宋" w:hAnsi="仿宋" w:eastAsia="仿宋" w:cs="仿宋"/>
          <w:b w:val="0"/>
          <w:bCs/>
          <w:color w:val="auto"/>
          <w:sz w:val="24"/>
        </w:rPr>
      </w:pPr>
      <w:r>
        <w:rPr>
          <w:rFonts w:hint="eastAsia" w:ascii="仿宋" w:hAnsi="仿宋" w:eastAsia="仿宋" w:cs="仿宋"/>
          <w:b w:val="0"/>
          <w:bCs/>
          <w:color w:val="auto"/>
          <w:sz w:val="24"/>
        </w:rPr>
        <w:t>1</w:t>
      </w:r>
      <w:r>
        <w:rPr>
          <w:rFonts w:hint="eastAsia" w:ascii="仿宋" w:hAnsi="仿宋" w:eastAsia="仿宋" w:cs="仿宋"/>
          <w:b w:val="0"/>
          <w:bCs/>
          <w:color w:val="auto"/>
          <w:sz w:val="24"/>
          <w:lang w:val="en-US" w:eastAsia="zh-CN"/>
        </w:rPr>
        <w:t>.</w:t>
      </w:r>
      <w:r>
        <w:rPr>
          <w:rFonts w:hint="eastAsia" w:ascii="仿宋" w:hAnsi="仿宋" w:eastAsia="仿宋" w:cs="仿宋"/>
          <w:b w:val="0"/>
          <w:bCs/>
          <w:color w:val="auto"/>
          <w:sz w:val="24"/>
        </w:rPr>
        <w:t>本表只填写</w:t>
      </w:r>
      <w:r>
        <w:rPr>
          <w:rFonts w:hint="eastAsia" w:ascii="仿宋" w:hAnsi="仿宋" w:eastAsia="仿宋" w:cs="仿宋"/>
          <w:b w:val="0"/>
          <w:bCs/>
          <w:color w:val="auto"/>
          <w:sz w:val="24"/>
          <w:lang w:val="en-US" w:eastAsia="zh-CN"/>
        </w:rPr>
        <w:t>竞争性磋商响应</w:t>
      </w:r>
      <w:r>
        <w:rPr>
          <w:rFonts w:hint="eastAsia" w:ascii="仿宋" w:hAnsi="仿宋" w:eastAsia="仿宋" w:cs="仿宋"/>
          <w:b w:val="0"/>
          <w:bCs/>
          <w:color w:val="auto"/>
          <w:sz w:val="24"/>
        </w:rPr>
        <w:t>文件中与</w:t>
      </w:r>
      <w:r>
        <w:rPr>
          <w:rFonts w:hint="eastAsia" w:ascii="仿宋" w:hAnsi="仿宋" w:eastAsia="仿宋" w:cs="仿宋"/>
          <w:b w:val="0"/>
          <w:bCs/>
          <w:color w:val="auto"/>
          <w:sz w:val="24"/>
          <w:lang w:val="en-US" w:eastAsia="zh-CN"/>
        </w:rPr>
        <w:t>竞争性磋商</w:t>
      </w:r>
      <w:r>
        <w:rPr>
          <w:rFonts w:hint="eastAsia" w:ascii="仿宋" w:hAnsi="仿宋" w:eastAsia="仿宋" w:cs="仿宋"/>
          <w:b w:val="0"/>
          <w:bCs/>
          <w:color w:val="auto"/>
          <w:sz w:val="24"/>
        </w:rPr>
        <w:t>文件有偏离(包括正偏离和负偏离)的内容，</w:t>
      </w:r>
      <w:r>
        <w:rPr>
          <w:rFonts w:hint="eastAsia" w:ascii="仿宋" w:hAnsi="仿宋" w:eastAsia="仿宋" w:cs="仿宋"/>
          <w:b w:val="0"/>
          <w:bCs/>
          <w:color w:val="auto"/>
          <w:sz w:val="24"/>
          <w:lang w:eastAsia="zh-CN"/>
        </w:rPr>
        <w:t>“</w:t>
      </w:r>
      <w:r>
        <w:rPr>
          <w:rFonts w:hint="eastAsia" w:ascii="仿宋" w:hAnsi="仿宋" w:eastAsia="仿宋" w:cs="仿宋"/>
          <w:b w:val="0"/>
          <w:bCs/>
          <w:color w:val="auto"/>
          <w:sz w:val="24"/>
          <w:lang w:val="en-US" w:eastAsia="zh-CN"/>
        </w:rPr>
        <w:t>竞争性磋商响应</w:t>
      </w:r>
      <w:r>
        <w:rPr>
          <w:rFonts w:hint="eastAsia" w:ascii="仿宋" w:hAnsi="仿宋" w:eastAsia="仿宋" w:cs="仿宋"/>
          <w:b w:val="0"/>
          <w:bCs/>
          <w:color w:val="auto"/>
          <w:sz w:val="24"/>
        </w:rPr>
        <w:t>文件</w:t>
      </w:r>
      <w:r>
        <w:rPr>
          <w:rFonts w:hint="eastAsia" w:ascii="仿宋" w:hAnsi="仿宋" w:eastAsia="仿宋" w:cs="仿宋"/>
          <w:b w:val="0"/>
          <w:bCs/>
          <w:color w:val="auto"/>
          <w:sz w:val="24"/>
          <w:lang w:val="en-US" w:eastAsia="zh-CN"/>
        </w:rPr>
        <w:t>服务内容</w:t>
      </w:r>
      <w:r>
        <w:rPr>
          <w:rFonts w:hint="eastAsia" w:ascii="仿宋" w:hAnsi="仿宋" w:eastAsia="仿宋" w:cs="仿宋"/>
          <w:b w:val="0"/>
          <w:bCs/>
          <w:color w:val="auto"/>
          <w:sz w:val="24"/>
        </w:rPr>
        <w:t>响应</w:t>
      </w:r>
      <w:r>
        <w:rPr>
          <w:rFonts w:hint="eastAsia" w:ascii="仿宋" w:hAnsi="仿宋" w:eastAsia="仿宋" w:cs="仿宋"/>
          <w:b w:val="0"/>
          <w:bCs/>
          <w:color w:val="auto"/>
          <w:sz w:val="24"/>
          <w:lang w:eastAsia="zh-CN"/>
        </w:rPr>
        <w:t>”</w:t>
      </w:r>
      <w:r>
        <w:rPr>
          <w:rFonts w:hint="eastAsia" w:ascii="仿宋" w:hAnsi="仿宋" w:eastAsia="仿宋" w:cs="仿宋"/>
          <w:b w:val="0"/>
          <w:bCs/>
          <w:color w:val="auto"/>
          <w:sz w:val="24"/>
        </w:rPr>
        <w:t>与</w:t>
      </w:r>
      <w:r>
        <w:rPr>
          <w:rFonts w:hint="eastAsia" w:ascii="仿宋" w:hAnsi="仿宋" w:eastAsia="仿宋" w:cs="仿宋"/>
          <w:b w:val="0"/>
          <w:bCs/>
          <w:color w:val="auto"/>
          <w:sz w:val="24"/>
          <w:lang w:val="en-US" w:eastAsia="zh-CN"/>
        </w:rPr>
        <w:t>竞争性磋商</w:t>
      </w:r>
      <w:r>
        <w:rPr>
          <w:rFonts w:hint="eastAsia" w:ascii="仿宋" w:hAnsi="仿宋" w:eastAsia="仿宋" w:cs="仿宋"/>
          <w:b w:val="0"/>
          <w:bCs/>
          <w:color w:val="auto"/>
          <w:sz w:val="24"/>
        </w:rPr>
        <w:t>文件</w:t>
      </w:r>
      <w:r>
        <w:rPr>
          <w:rFonts w:hint="eastAsia" w:ascii="仿宋" w:hAnsi="仿宋" w:eastAsia="仿宋" w:cs="仿宋"/>
          <w:b w:val="0"/>
          <w:bCs/>
          <w:color w:val="auto"/>
          <w:sz w:val="24"/>
          <w:lang w:eastAsia="zh-CN"/>
        </w:rPr>
        <w:t>“3.2服务内容及服务要求</w:t>
      </w:r>
      <w:r>
        <w:rPr>
          <w:rFonts w:hint="eastAsia" w:ascii="仿宋" w:hAnsi="仿宋" w:eastAsia="仿宋" w:cs="仿宋"/>
          <w:b w:val="0"/>
          <w:bCs/>
          <w:color w:val="auto"/>
          <w:sz w:val="24"/>
          <w:lang w:val="en-US" w:eastAsia="zh-CN"/>
        </w:rPr>
        <w:t>”</w:t>
      </w:r>
      <w:r>
        <w:rPr>
          <w:rFonts w:hint="eastAsia" w:ascii="仿宋" w:hAnsi="仿宋" w:eastAsia="仿宋" w:cs="仿宋"/>
          <w:b w:val="0"/>
          <w:bCs/>
          <w:color w:val="auto"/>
          <w:sz w:val="24"/>
        </w:rPr>
        <w:t>完全一致的，不用在此表中列出，但必须提交空白表（否则视为</w:t>
      </w:r>
      <w:r>
        <w:rPr>
          <w:rFonts w:hint="eastAsia" w:ascii="仿宋" w:hAnsi="仿宋" w:eastAsia="仿宋" w:cs="仿宋"/>
          <w:b w:val="0"/>
          <w:bCs/>
          <w:color w:val="auto"/>
          <w:sz w:val="24"/>
          <w:lang w:eastAsia="zh-CN"/>
        </w:rPr>
        <w:t>未</w:t>
      </w:r>
      <w:r>
        <w:rPr>
          <w:rFonts w:hint="eastAsia" w:ascii="仿宋" w:hAnsi="仿宋" w:eastAsia="仿宋" w:cs="仿宋"/>
          <w:b w:val="0"/>
          <w:bCs/>
          <w:color w:val="auto"/>
          <w:sz w:val="24"/>
        </w:rPr>
        <w:t>完全响应</w:t>
      </w:r>
      <w:r>
        <w:rPr>
          <w:rFonts w:hint="eastAsia" w:ascii="仿宋" w:hAnsi="仿宋" w:eastAsia="仿宋" w:cs="仿宋"/>
          <w:b w:val="0"/>
          <w:bCs/>
          <w:color w:val="auto"/>
          <w:sz w:val="24"/>
          <w:lang w:val="en-US" w:eastAsia="zh-CN"/>
        </w:rPr>
        <w:t>竞争性磋商</w:t>
      </w:r>
      <w:r>
        <w:rPr>
          <w:rFonts w:hint="eastAsia" w:ascii="仿宋" w:hAnsi="仿宋" w:eastAsia="仿宋" w:cs="仿宋"/>
          <w:b w:val="0"/>
          <w:bCs/>
          <w:color w:val="auto"/>
          <w:sz w:val="24"/>
        </w:rPr>
        <w:t>文件要求)。</w:t>
      </w:r>
    </w:p>
    <w:p w14:paraId="46D3488D">
      <w:pPr>
        <w:spacing w:line="440" w:lineRule="exact"/>
        <w:ind w:firstLine="480" w:firstLineChars="200"/>
        <w:rPr>
          <w:rFonts w:hint="eastAsia" w:ascii="仿宋" w:hAnsi="仿宋" w:eastAsia="仿宋" w:cs="仿宋"/>
          <w:b w:val="0"/>
          <w:bCs/>
          <w:color w:val="auto"/>
          <w:sz w:val="24"/>
        </w:rPr>
      </w:pPr>
      <w:r>
        <w:rPr>
          <w:rFonts w:hint="eastAsia" w:ascii="仿宋" w:hAnsi="仿宋" w:eastAsia="仿宋" w:cs="仿宋"/>
          <w:b w:val="0"/>
          <w:bCs/>
          <w:color w:val="auto"/>
          <w:sz w:val="24"/>
          <w:lang w:val="en-US" w:eastAsia="zh-CN"/>
        </w:rPr>
        <w:t>2.供应商</w:t>
      </w:r>
      <w:r>
        <w:rPr>
          <w:rFonts w:hint="eastAsia" w:ascii="仿宋" w:hAnsi="仿宋" w:eastAsia="仿宋" w:cs="仿宋"/>
          <w:b w:val="0"/>
          <w:bCs/>
          <w:color w:val="auto"/>
          <w:sz w:val="24"/>
        </w:rPr>
        <w:t>必须据实填写，不得虚假响应，否则将取消其</w:t>
      </w:r>
      <w:r>
        <w:rPr>
          <w:rFonts w:hint="eastAsia" w:ascii="仿宋" w:hAnsi="仿宋" w:eastAsia="仿宋" w:cs="仿宋"/>
          <w:b w:val="0"/>
          <w:bCs/>
          <w:color w:val="auto"/>
          <w:sz w:val="24"/>
          <w:lang w:val="en-US" w:eastAsia="zh-CN"/>
        </w:rPr>
        <w:t>磋商</w:t>
      </w:r>
      <w:r>
        <w:rPr>
          <w:rFonts w:hint="eastAsia" w:ascii="仿宋" w:hAnsi="仿宋" w:eastAsia="仿宋" w:cs="仿宋"/>
          <w:b w:val="0"/>
          <w:bCs/>
          <w:color w:val="auto"/>
          <w:sz w:val="24"/>
        </w:rPr>
        <w:t>或</w:t>
      </w:r>
      <w:r>
        <w:rPr>
          <w:rFonts w:hint="eastAsia" w:ascii="仿宋" w:hAnsi="仿宋" w:eastAsia="仿宋" w:cs="仿宋"/>
          <w:b w:val="0"/>
          <w:bCs/>
          <w:color w:val="auto"/>
          <w:sz w:val="24"/>
          <w:lang w:val="en-US" w:eastAsia="zh-CN"/>
        </w:rPr>
        <w:t>成交</w:t>
      </w:r>
      <w:r>
        <w:rPr>
          <w:rFonts w:hint="eastAsia" w:ascii="仿宋" w:hAnsi="仿宋" w:eastAsia="仿宋" w:cs="仿宋"/>
          <w:b w:val="0"/>
          <w:bCs/>
          <w:color w:val="auto"/>
          <w:sz w:val="24"/>
        </w:rPr>
        <w:t>资格，并按有关规定进</w:t>
      </w:r>
      <w:r>
        <w:rPr>
          <w:rFonts w:hint="eastAsia" w:ascii="仿宋" w:hAnsi="仿宋" w:eastAsia="仿宋" w:cs="仿宋"/>
          <w:b w:val="0"/>
          <w:bCs/>
          <w:color w:val="auto"/>
          <w:sz w:val="24"/>
          <w:lang w:eastAsia="zh-CN"/>
        </w:rPr>
        <w:t>行</w:t>
      </w:r>
      <w:r>
        <w:rPr>
          <w:rFonts w:hint="eastAsia" w:ascii="仿宋" w:hAnsi="仿宋" w:eastAsia="仿宋" w:cs="仿宋"/>
          <w:b w:val="0"/>
          <w:bCs/>
          <w:color w:val="auto"/>
          <w:sz w:val="24"/>
        </w:rPr>
        <w:t>处罚。</w:t>
      </w:r>
    </w:p>
    <w:p w14:paraId="506A4A42">
      <w:pPr>
        <w:rPr>
          <w:rFonts w:hint="eastAsia" w:ascii="仿宋" w:hAnsi="仿宋" w:eastAsia="仿宋" w:cs="仿宋"/>
          <w:b w:val="0"/>
          <w:bCs/>
          <w:color w:val="auto"/>
          <w:sz w:val="24"/>
          <w:lang w:val="zh-CN" w:eastAsia="zh-Hans"/>
        </w:rPr>
      </w:pPr>
    </w:p>
    <w:p w14:paraId="3BA432CA">
      <w:pPr>
        <w:rPr>
          <w:rFonts w:hint="eastAsia" w:ascii="仿宋" w:hAnsi="仿宋" w:eastAsia="仿宋" w:cs="仿宋"/>
        </w:rPr>
      </w:pPr>
      <w:r>
        <w:rPr>
          <w:rFonts w:hint="eastAsia" w:ascii="仿宋" w:hAnsi="仿宋" w:eastAsia="仿宋" w:cs="仿宋"/>
          <w:b w:val="0"/>
          <w:bCs/>
          <w:color w:val="auto"/>
          <w:sz w:val="24"/>
          <w:lang w:val="zh-CN" w:eastAsia="zh-Hans"/>
        </w:rPr>
        <w:t>法定代表人或被授权人（签字或盖章）</w:t>
      </w:r>
      <w:r>
        <w:rPr>
          <w:rFonts w:hint="eastAsia" w:ascii="仿宋" w:hAnsi="仿宋" w:eastAsia="仿宋" w:cs="仿宋"/>
          <w:b w:val="0"/>
          <w:bCs/>
          <w:color w:val="auto"/>
          <w:sz w:val="24"/>
          <w:lang w:val="en-US" w:eastAsia="zh-Hans"/>
        </w:rPr>
        <w:t xml:space="preserve"> :</w:t>
      </w:r>
      <w:r>
        <w:rPr>
          <w:rFonts w:hint="eastAsia" w:ascii="仿宋" w:hAnsi="仿宋" w:eastAsia="仿宋" w:cs="仿宋"/>
          <w:b w:val="0"/>
          <w:bCs/>
          <w:color w:val="auto"/>
          <w:sz w:val="24"/>
          <w:u w:val="single"/>
          <w:lang w:val="en-US" w:eastAsia="zh-Hans"/>
        </w:rPr>
        <w:t xml:space="preserve">             </w:t>
      </w:r>
      <w:r>
        <w:rPr>
          <w:rFonts w:hint="eastAsia" w:ascii="仿宋" w:hAnsi="仿宋" w:eastAsia="仿宋" w:cs="仿宋"/>
          <w:b w:val="0"/>
          <w:bCs/>
          <w:color w:val="auto"/>
          <w:sz w:val="24"/>
          <w:lang w:val="en-US" w:eastAsia="zh-Hans"/>
        </w:rPr>
        <w:t xml:space="preserve">       日 期：</w:t>
      </w:r>
    </w:p>
    <w:p w14:paraId="58F6BF16">
      <w:pPr>
        <w:rPr>
          <w:rFonts w:hint="eastAsia" w:ascii="仿宋" w:hAnsi="仿宋" w:eastAsia="仿宋" w:cs="仿宋"/>
          <w:color w:val="auto"/>
        </w:rPr>
      </w:pPr>
      <w:r>
        <w:rPr>
          <w:rFonts w:hint="eastAsia" w:ascii="仿宋" w:hAnsi="仿宋" w:eastAsia="仿宋" w:cs="仿宋"/>
          <w:color w:val="auto"/>
        </w:rPr>
        <w:br w:type="page"/>
      </w:r>
    </w:p>
    <w:p w14:paraId="5DF685B5">
      <w:pPr>
        <w:pStyle w:val="13"/>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商务条款响应偏离表（格式）</w:t>
      </w:r>
    </w:p>
    <w:p w14:paraId="74678B54">
      <w:pPr>
        <w:spacing w:line="600" w:lineRule="exact"/>
        <w:jc w:val="center"/>
        <w:rPr>
          <w:rFonts w:hint="eastAsia" w:ascii="仿宋" w:hAnsi="仿宋" w:eastAsia="仿宋" w:cs="仿宋"/>
          <w:b w:val="0"/>
          <w:bCs/>
          <w:color w:val="auto"/>
          <w:sz w:val="34"/>
          <w:szCs w:val="34"/>
        </w:rPr>
      </w:pPr>
      <w:r>
        <w:rPr>
          <w:rFonts w:hint="eastAsia" w:ascii="仿宋" w:hAnsi="仿宋" w:eastAsia="仿宋" w:cs="仿宋"/>
          <w:b/>
          <w:bCs w:val="0"/>
          <w:color w:val="auto"/>
          <w:sz w:val="34"/>
          <w:szCs w:val="34"/>
        </w:rPr>
        <w:t>商务条款响应偏离表（格式）</w:t>
      </w:r>
    </w:p>
    <w:p w14:paraId="7E9BBFA2">
      <w:pPr>
        <w:spacing w:line="240" w:lineRule="exact"/>
        <w:ind w:left="210" w:leftChars="100"/>
        <w:rPr>
          <w:rFonts w:hint="eastAsia" w:ascii="仿宋" w:hAnsi="仿宋" w:eastAsia="仿宋" w:cs="仿宋"/>
          <w:b w:val="0"/>
          <w:bCs/>
          <w:color w:val="auto"/>
          <w:sz w:val="24"/>
        </w:rPr>
      </w:pPr>
    </w:p>
    <w:p w14:paraId="4BCF93A4">
      <w:pPr>
        <w:spacing w:line="480" w:lineRule="exact"/>
        <w:rPr>
          <w:rFonts w:hint="eastAsia" w:ascii="仿宋" w:hAnsi="仿宋" w:eastAsia="仿宋" w:cs="仿宋"/>
          <w:b w:val="0"/>
          <w:bCs/>
          <w:color w:val="auto"/>
          <w:sz w:val="24"/>
        </w:rPr>
      </w:pPr>
      <w:r>
        <w:rPr>
          <w:rFonts w:hint="eastAsia" w:ascii="仿宋" w:hAnsi="仿宋" w:eastAsia="仿宋" w:cs="仿宋"/>
          <w:b w:val="0"/>
          <w:bCs/>
          <w:color w:val="auto"/>
          <w:sz w:val="24"/>
        </w:rPr>
        <w:t>供应商名称：</w:t>
      </w:r>
      <w:r>
        <w:rPr>
          <w:rFonts w:hint="eastAsia" w:ascii="仿宋" w:hAnsi="仿宋" w:eastAsia="仿宋" w:cs="仿宋"/>
          <w:b w:val="0"/>
          <w:bCs/>
          <w:color w:val="auto"/>
          <w:sz w:val="24"/>
          <w:u w:val="single"/>
        </w:rPr>
        <w:t xml:space="preserve">                 </w:t>
      </w:r>
      <w:r>
        <w:rPr>
          <w:rFonts w:hint="eastAsia" w:ascii="仿宋" w:hAnsi="仿宋" w:eastAsia="仿宋" w:cs="仿宋"/>
          <w:b w:val="0"/>
          <w:bCs/>
          <w:color w:val="auto"/>
          <w:sz w:val="24"/>
        </w:rPr>
        <w:t>（供应商单位公章）     项目编号：</w:t>
      </w:r>
      <w:r>
        <w:rPr>
          <w:rFonts w:hint="eastAsia" w:ascii="仿宋" w:hAnsi="仿宋" w:eastAsia="仿宋" w:cs="仿宋"/>
          <w:b w:val="0"/>
          <w:bCs/>
          <w:color w:val="auto"/>
          <w:sz w:val="24"/>
          <w:u w:val="single"/>
        </w:rPr>
        <w:t xml:space="preserve">             </w:t>
      </w:r>
    </w:p>
    <w:tbl>
      <w:tblPr>
        <w:tblStyle w:val="10"/>
        <w:tblW w:w="9571"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2478"/>
        <w:gridCol w:w="2835"/>
        <w:gridCol w:w="1646"/>
        <w:gridCol w:w="1299"/>
      </w:tblGrid>
      <w:tr w14:paraId="1A6B94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1E938D9A">
            <w:pPr>
              <w:keepNext w:val="0"/>
              <w:keepLines w:val="0"/>
              <w:pageBreakBefore w:val="0"/>
              <w:widowControl w:val="0"/>
              <w:kinsoku/>
              <w:wordWrap/>
              <w:overflowPunct/>
              <w:topLinePunct w:val="0"/>
              <w:autoSpaceDE/>
              <w:autoSpaceDN/>
              <w:bidi w:val="0"/>
              <w:adjustRightInd/>
              <w:snapToGrid/>
              <w:spacing w:line="320" w:lineRule="exact"/>
              <w:ind w:left="0" w:leftChars="0"/>
              <w:jc w:val="center"/>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 xml:space="preserve"> 序号</w:t>
            </w:r>
          </w:p>
        </w:tc>
        <w:tc>
          <w:tcPr>
            <w:tcW w:w="2478" w:type="dxa"/>
            <w:noWrap w:val="0"/>
            <w:tcMar>
              <w:top w:w="57" w:type="dxa"/>
              <w:left w:w="28" w:type="dxa"/>
              <w:bottom w:w="57" w:type="dxa"/>
              <w:right w:w="28" w:type="dxa"/>
            </w:tcMar>
            <w:vAlign w:val="center"/>
          </w:tcPr>
          <w:p w14:paraId="4070377F">
            <w:pPr>
              <w:spacing w:line="320" w:lineRule="exact"/>
              <w:ind w:left="210" w:leftChars="100"/>
              <w:jc w:val="center"/>
              <w:rPr>
                <w:rFonts w:hint="eastAsia" w:ascii="仿宋" w:hAnsi="仿宋" w:eastAsia="仿宋" w:cs="仿宋"/>
                <w:b w:val="0"/>
                <w:bCs/>
                <w:color w:val="auto"/>
                <w:sz w:val="24"/>
              </w:rPr>
            </w:pPr>
            <w:r>
              <w:rPr>
                <w:rFonts w:hint="eastAsia" w:ascii="仿宋" w:hAnsi="仿宋" w:eastAsia="仿宋" w:cs="仿宋"/>
                <w:b w:val="0"/>
                <w:bCs/>
                <w:color w:val="auto"/>
                <w:sz w:val="24"/>
                <w:lang w:eastAsia="zh-CN"/>
              </w:rPr>
              <w:t>竞争性磋商文件</w:t>
            </w:r>
            <w:r>
              <w:rPr>
                <w:rFonts w:hint="eastAsia" w:ascii="仿宋" w:hAnsi="仿宋" w:eastAsia="仿宋" w:cs="仿宋"/>
                <w:b w:val="0"/>
                <w:bCs/>
                <w:color w:val="auto"/>
                <w:sz w:val="24"/>
              </w:rPr>
              <w:t>商务</w:t>
            </w:r>
            <w:r>
              <w:rPr>
                <w:rFonts w:hint="eastAsia" w:ascii="仿宋" w:hAnsi="仿宋" w:eastAsia="仿宋" w:cs="仿宋"/>
                <w:b w:val="0"/>
                <w:bCs/>
                <w:color w:val="auto"/>
                <w:sz w:val="24"/>
                <w:lang w:eastAsia="zh-CN"/>
              </w:rPr>
              <w:t>要求</w:t>
            </w:r>
          </w:p>
        </w:tc>
        <w:tc>
          <w:tcPr>
            <w:tcW w:w="2835" w:type="dxa"/>
            <w:noWrap w:val="0"/>
            <w:tcMar>
              <w:top w:w="57" w:type="dxa"/>
              <w:left w:w="28" w:type="dxa"/>
              <w:bottom w:w="57" w:type="dxa"/>
              <w:right w:w="28" w:type="dxa"/>
            </w:tcMar>
            <w:vAlign w:val="center"/>
          </w:tcPr>
          <w:p w14:paraId="624E8D41">
            <w:pPr>
              <w:spacing w:line="320" w:lineRule="exact"/>
              <w:ind w:left="210" w:leftChars="100"/>
              <w:jc w:val="center"/>
              <w:rPr>
                <w:rFonts w:hint="eastAsia" w:ascii="仿宋" w:hAnsi="仿宋" w:eastAsia="仿宋" w:cs="仿宋"/>
                <w:b w:val="0"/>
                <w:bCs/>
                <w:color w:val="auto"/>
                <w:sz w:val="24"/>
              </w:rPr>
            </w:pPr>
            <w:r>
              <w:rPr>
                <w:rFonts w:hint="eastAsia" w:ascii="仿宋" w:hAnsi="仿宋" w:eastAsia="仿宋" w:cs="仿宋"/>
                <w:b w:val="0"/>
                <w:bCs/>
                <w:color w:val="auto"/>
                <w:sz w:val="24"/>
                <w:lang w:val="en-US" w:eastAsia="zh-CN"/>
              </w:rPr>
              <w:t>竞争性磋商响应</w:t>
            </w:r>
            <w:r>
              <w:rPr>
                <w:rFonts w:hint="eastAsia" w:ascii="仿宋" w:hAnsi="仿宋" w:eastAsia="仿宋" w:cs="仿宋"/>
                <w:b w:val="0"/>
                <w:bCs/>
                <w:color w:val="auto"/>
                <w:sz w:val="24"/>
              </w:rPr>
              <w:t>文件</w:t>
            </w:r>
            <w:r>
              <w:rPr>
                <w:rFonts w:hint="eastAsia" w:ascii="仿宋" w:hAnsi="仿宋" w:eastAsia="仿宋" w:cs="仿宋"/>
                <w:b w:val="0"/>
                <w:bCs/>
                <w:color w:val="auto"/>
                <w:sz w:val="24"/>
                <w:lang w:val="en-US" w:eastAsia="zh-CN"/>
              </w:rPr>
              <w:t>商务要求</w:t>
            </w:r>
            <w:r>
              <w:rPr>
                <w:rFonts w:hint="eastAsia" w:ascii="仿宋" w:hAnsi="仿宋" w:eastAsia="仿宋" w:cs="仿宋"/>
                <w:b w:val="0"/>
                <w:bCs/>
                <w:color w:val="auto"/>
                <w:sz w:val="24"/>
              </w:rPr>
              <w:t>响应</w:t>
            </w:r>
          </w:p>
        </w:tc>
        <w:tc>
          <w:tcPr>
            <w:tcW w:w="1646" w:type="dxa"/>
            <w:noWrap w:val="0"/>
            <w:tcMar>
              <w:top w:w="57" w:type="dxa"/>
              <w:left w:w="28" w:type="dxa"/>
              <w:bottom w:w="57" w:type="dxa"/>
              <w:right w:w="28" w:type="dxa"/>
            </w:tcMar>
            <w:vAlign w:val="center"/>
          </w:tcPr>
          <w:p w14:paraId="34C446B6">
            <w:pPr>
              <w:spacing w:line="320" w:lineRule="exact"/>
              <w:jc w:val="center"/>
              <w:rPr>
                <w:rFonts w:hint="eastAsia" w:ascii="仿宋" w:hAnsi="仿宋" w:eastAsia="仿宋" w:cs="仿宋"/>
                <w:b w:val="0"/>
                <w:bCs/>
                <w:color w:val="auto"/>
                <w:sz w:val="24"/>
              </w:rPr>
            </w:pPr>
            <w:r>
              <w:rPr>
                <w:rFonts w:hint="eastAsia" w:ascii="仿宋" w:hAnsi="仿宋" w:eastAsia="仿宋" w:cs="仿宋"/>
                <w:b w:val="0"/>
                <w:bCs/>
                <w:color w:val="auto"/>
                <w:sz w:val="24"/>
                <w:lang w:eastAsia="zh-CN"/>
              </w:rPr>
              <w:t>响应情况</w:t>
            </w:r>
          </w:p>
        </w:tc>
        <w:tc>
          <w:tcPr>
            <w:tcW w:w="1299" w:type="dxa"/>
            <w:noWrap w:val="0"/>
            <w:vAlign w:val="center"/>
          </w:tcPr>
          <w:p w14:paraId="6341BE91">
            <w:pPr>
              <w:spacing w:line="320" w:lineRule="exact"/>
              <w:jc w:val="center"/>
              <w:rPr>
                <w:rFonts w:hint="eastAsia" w:ascii="仿宋" w:hAnsi="仿宋" w:eastAsia="仿宋" w:cs="仿宋"/>
                <w:b w:val="0"/>
                <w:bCs/>
                <w:color w:val="auto"/>
                <w:sz w:val="24"/>
              </w:rPr>
            </w:pPr>
            <w:r>
              <w:rPr>
                <w:rFonts w:hint="eastAsia" w:ascii="仿宋" w:hAnsi="仿宋" w:eastAsia="仿宋" w:cs="仿宋"/>
                <w:b w:val="0"/>
                <w:bCs/>
                <w:color w:val="auto"/>
                <w:sz w:val="24"/>
              </w:rPr>
              <w:t>响应说明</w:t>
            </w:r>
          </w:p>
        </w:tc>
      </w:tr>
      <w:tr w14:paraId="434EA4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313" w:type="dxa"/>
            <w:tcBorders>
              <w:bottom w:val="single" w:color="auto" w:sz="4" w:space="0"/>
            </w:tcBorders>
            <w:noWrap w:val="0"/>
            <w:tcMar>
              <w:top w:w="57" w:type="dxa"/>
              <w:left w:w="28" w:type="dxa"/>
              <w:bottom w:w="57" w:type="dxa"/>
              <w:right w:w="28" w:type="dxa"/>
            </w:tcMar>
            <w:vAlign w:val="center"/>
          </w:tcPr>
          <w:p w14:paraId="3AFC7196">
            <w:pPr>
              <w:spacing w:line="480" w:lineRule="exact"/>
              <w:ind w:left="210" w:leftChars="100"/>
              <w:rPr>
                <w:rFonts w:hint="eastAsia" w:ascii="仿宋" w:hAnsi="仿宋" w:eastAsia="仿宋" w:cs="仿宋"/>
                <w:b w:val="0"/>
                <w:bCs/>
                <w:color w:val="auto"/>
                <w:sz w:val="24"/>
              </w:rPr>
            </w:pPr>
          </w:p>
        </w:tc>
        <w:tc>
          <w:tcPr>
            <w:tcW w:w="2478" w:type="dxa"/>
            <w:tcBorders>
              <w:bottom w:val="single" w:color="auto" w:sz="4" w:space="0"/>
            </w:tcBorders>
            <w:noWrap w:val="0"/>
            <w:tcMar>
              <w:top w:w="57" w:type="dxa"/>
              <w:left w:w="28" w:type="dxa"/>
              <w:bottom w:w="57" w:type="dxa"/>
              <w:right w:w="28" w:type="dxa"/>
            </w:tcMar>
            <w:vAlign w:val="center"/>
          </w:tcPr>
          <w:p w14:paraId="42EFD990">
            <w:pPr>
              <w:spacing w:line="480" w:lineRule="exact"/>
              <w:ind w:left="210" w:leftChars="100"/>
              <w:rPr>
                <w:rFonts w:hint="eastAsia" w:ascii="仿宋" w:hAnsi="仿宋" w:eastAsia="仿宋" w:cs="仿宋"/>
                <w:b w:val="0"/>
                <w:bCs/>
                <w:color w:val="auto"/>
                <w:sz w:val="24"/>
              </w:rPr>
            </w:pPr>
          </w:p>
        </w:tc>
        <w:tc>
          <w:tcPr>
            <w:tcW w:w="2835" w:type="dxa"/>
            <w:tcBorders>
              <w:bottom w:val="single" w:color="auto" w:sz="4" w:space="0"/>
            </w:tcBorders>
            <w:noWrap w:val="0"/>
            <w:tcMar>
              <w:top w:w="57" w:type="dxa"/>
              <w:left w:w="28" w:type="dxa"/>
              <w:bottom w:w="57" w:type="dxa"/>
              <w:right w:w="28" w:type="dxa"/>
            </w:tcMar>
            <w:vAlign w:val="center"/>
          </w:tcPr>
          <w:p w14:paraId="6119A5CC">
            <w:pPr>
              <w:spacing w:line="480" w:lineRule="exact"/>
              <w:ind w:left="210" w:leftChars="100"/>
              <w:rPr>
                <w:rFonts w:hint="eastAsia" w:ascii="仿宋" w:hAnsi="仿宋" w:eastAsia="仿宋" w:cs="仿宋"/>
                <w:b w:val="0"/>
                <w:bCs/>
                <w:color w:val="auto"/>
                <w:sz w:val="24"/>
              </w:rPr>
            </w:pPr>
          </w:p>
        </w:tc>
        <w:tc>
          <w:tcPr>
            <w:tcW w:w="1646" w:type="dxa"/>
            <w:tcBorders>
              <w:bottom w:val="single" w:color="auto" w:sz="4" w:space="0"/>
            </w:tcBorders>
            <w:noWrap w:val="0"/>
            <w:tcMar>
              <w:top w:w="57" w:type="dxa"/>
              <w:left w:w="28" w:type="dxa"/>
              <w:bottom w:w="57" w:type="dxa"/>
              <w:right w:w="28" w:type="dxa"/>
            </w:tcMar>
            <w:vAlign w:val="center"/>
          </w:tcPr>
          <w:p w14:paraId="1FFE1800">
            <w:pPr>
              <w:jc w:val="center"/>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sz w:val="24"/>
                <w:szCs w:val="24"/>
                <w:highlight w:val="none"/>
              </w:rPr>
              <w:t>按实际响应情况填写“正偏离”、“负偏离”</w:t>
            </w:r>
          </w:p>
        </w:tc>
        <w:tc>
          <w:tcPr>
            <w:tcW w:w="1299" w:type="dxa"/>
            <w:tcBorders>
              <w:bottom w:val="single" w:color="auto" w:sz="4" w:space="0"/>
            </w:tcBorders>
            <w:noWrap w:val="0"/>
            <w:vAlign w:val="center"/>
          </w:tcPr>
          <w:p w14:paraId="5B0E9922">
            <w:pPr>
              <w:jc w:val="center"/>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sz w:val="24"/>
                <w:szCs w:val="24"/>
                <w:highlight w:val="none"/>
              </w:rPr>
              <w:t>如有正负偏离情况在此列详细说明</w:t>
            </w:r>
          </w:p>
        </w:tc>
      </w:tr>
      <w:tr w14:paraId="6959756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313" w:type="dxa"/>
            <w:tcBorders>
              <w:bottom w:val="single" w:color="auto" w:sz="4" w:space="0"/>
            </w:tcBorders>
            <w:noWrap w:val="0"/>
            <w:tcMar>
              <w:top w:w="57" w:type="dxa"/>
              <w:left w:w="28" w:type="dxa"/>
              <w:bottom w:w="57" w:type="dxa"/>
              <w:right w:w="28" w:type="dxa"/>
            </w:tcMar>
            <w:vAlign w:val="center"/>
          </w:tcPr>
          <w:p w14:paraId="37B8D094">
            <w:pPr>
              <w:spacing w:line="480" w:lineRule="exact"/>
              <w:ind w:left="210" w:leftChars="100"/>
              <w:rPr>
                <w:rFonts w:hint="eastAsia" w:ascii="仿宋" w:hAnsi="仿宋" w:eastAsia="仿宋" w:cs="仿宋"/>
                <w:b w:val="0"/>
                <w:bCs/>
                <w:color w:val="auto"/>
                <w:sz w:val="24"/>
              </w:rPr>
            </w:pPr>
          </w:p>
        </w:tc>
        <w:tc>
          <w:tcPr>
            <w:tcW w:w="2478" w:type="dxa"/>
            <w:tcBorders>
              <w:bottom w:val="single" w:color="auto" w:sz="4" w:space="0"/>
            </w:tcBorders>
            <w:noWrap w:val="0"/>
            <w:tcMar>
              <w:top w:w="57" w:type="dxa"/>
              <w:left w:w="28" w:type="dxa"/>
              <w:bottom w:w="57" w:type="dxa"/>
              <w:right w:w="28" w:type="dxa"/>
            </w:tcMar>
            <w:vAlign w:val="center"/>
          </w:tcPr>
          <w:p w14:paraId="36A6B8EF">
            <w:pPr>
              <w:spacing w:line="480" w:lineRule="exact"/>
              <w:ind w:left="210" w:leftChars="100"/>
              <w:rPr>
                <w:rFonts w:hint="eastAsia" w:ascii="仿宋" w:hAnsi="仿宋" w:eastAsia="仿宋" w:cs="仿宋"/>
                <w:b w:val="0"/>
                <w:bCs/>
                <w:color w:val="auto"/>
                <w:sz w:val="24"/>
              </w:rPr>
            </w:pPr>
          </w:p>
        </w:tc>
        <w:tc>
          <w:tcPr>
            <w:tcW w:w="2835" w:type="dxa"/>
            <w:tcBorders>
              <w:bottom w:val="single" w:color="auto" w:sz="4" w:space="0"/>
            </w:tcBorders>
            <w:noWrap w:val="0"/>
            <w:tcMar>
              <w:top w:w="57" w:type="dxa"/>
              <w:left w:w="28" w:type="dxa"/>
              <w:bottom w:w="57" w:type="dxa"/>
              <w:right w:w="28" w:type="dxa"/>
            </w:tcMar>
            <w:vAlign w:val="center"/>
          </w:tcPr>
          <w:p w14:paraId="2A15C7DB">
            <w:pPr>
              <w:spacing w:line="480" w:lineRule="exact"/>
              <w:ind w:left="210" w:leftChars="100"/>
              <w:rPr>
                <w:rFonts w:hint="eastAsia" w:ascii="仿宋" w:hAnsi="仿宋" w:eastAsia="仿宋" w:cs="仿宋"/>
                <w:b w:val="0"/>
                <w:bCs/>
                <w:color w:val="auto"/>
                <w:sz w:val="24"/>
              </w:rPr>
            </w:pPr>
          </w:p>
        </w:tc>
        <w:tc>
          <w:tcPr>
            <w:tcW w:w="1646" w:type="dxa"/>
            <w:tcBorders>
              <w:bottom w:val="single" w:color="auto" w:sz="4" w:space="0"/>
            </w:tcBorders>
            <w:noWrap w:val="0"/>
            <w:tcMar>
              <w:top w:w="57" w:type="dxa"/>
              <w:left w:w="28" w:type="dxa"/>
              <w:bottom w:w="57" w:type="dxa"/>
              <w:right w:w="28" w:type="dxa"/>
            </w:tcMar>
            <w:vAlign w:val="center"/>
          </w:tcPr>
          <w:p w14:paraId="17C4E72C">
            <w:pPr>
              <w:spacing w:line="480" w:lineRule="exact"/>
              <w:ind w:left="210" w:leftChars="100"/>
              <w:rPr>
                <w:rFonts w:hint="eastAsia" w:ascii="仿宋" w:hAnsi="仿宋" w:eastAsia="仿宋" w:cs="仿宋"/>
                <w:b w:val="0"/>
                <w:bCs/>
                <w:color w:val="auto"/>
                <w:sz w:val="24"/>
              </w:rPr>
            </w:pPr>
          </w:p>
        </w:tc>
        <w:tc>
          <w:tcPr>
            <w:tcW w:w="1299" w:type="dxa"/>
            <w:tcBorders>
              <w:bottom w:val="single" w:color="auto" w:sz="4" w:space="0"/>
            </w:tcBorders>
            <w:noWrap w:val="0"/>
            <w:vAlign w:val="center"/>
          </w:tcPr>
          <w:p w14:paraId="29C8321E">
            <w:pPr>
              <w:spacing w:line="480" w:lineRule="exact"/>
              <w:ind w:left="210" w:leftChars="100"/>
              <w:rPr>
                <w:rFonts w:hint="eastAsia" w:ascii="仿宋" w:hAnsi="仿宋" w:eastAsia="仿宋" w:cs="仿宋"/>
                <w:b w:val="0"/>
                <w:bCs/>
                <w:color w:val="auto"/>
                <w:sz w:val="24"/>
              </w:rPr>
            </w:pPr>
          </w:p>
        </w:tc>
      </w:tr>
      <w:tr w14:paraId="61DB044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3A494C5C">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79EEA8EB">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2CDCBB76">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637B876F">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47384C5F">
            <w:pPr>
              <w:spacing w:line="480" w:lineRule="exact"/>
              <w:ind w:left="210" w:leftChars="100"/>
              <w:rPr>
                <w:rFonts w:hint="eastAsia" w:ascii="仿宋" w:hAnsi="仿宋" w:eastAsia="仿宋" w:cs="仿宋"/>
                <w:b w:val="0"/>
                <w:bCs/>
                <w:color w:val="auto"/>
                <w:sz w:val="24"/>
              </w:rPr>
            </w:pPr>
          </w:p>
        </w:tc>
      </w:tr>
      <w:tr w14:paraId="250DE4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72E474D8">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68C5658F">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2531197C">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6F640ADF">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582A9296">
            <w:pPr>
              <w:spacing w:line="480" w:lineRule="exact"/>
              <w:ind w:left="210" w:leftChars="100"/>
              <w:rPr>
                <w:rFonts w:hint="eastAsia" w:ascii="仿宋" w:hAnsi="仿宋" w:eastAsia="仿宋" w:cs="仿宋"/>
                <w:b w:val="0"/>
                <w:bCs/>
                <w:color w:val="auto"/>
                <w:sz w:val="24"/>
              </w:rPr>
            </w:pPr>
          </w:p>
        </w:tc>
      </w:tr>
      <w:tr w14:paraId="6877F8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285E5E7E">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36BE3C34">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1F91BD70">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68839B2B">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00D43E6D">
            <w:pPr>
              <w:spacing w:line="480" w:lineRule="exact"/>
              <w:ind w:left="210" w:leftChars="100"/>
              <w:rPr>
                <w:rFonts w:hint="eastAsia" w:ascii="仿宋" w:hAnsi="仿宋" w:eastAsia="仿宋" w:cs="仿宋"/>
                <w:b w:val="0"/>
                <w:bCs/>
                <w:color w:val="auto"/>
                <w:sz w:val="24"/>
              </w:rPr>
            </w:pPr>
          </w:p>
        </w:tc>
      </w:tr>
      <w:tr w14:paraId="7C2562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041740BA">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240E31F7">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13AC2A47">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4D77D2CF">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1C6EB727">
            <w:pPr>
              <w:spacing w:line="480" w:lineRule="exact"/>
              <w:ind w:left="210" w:leftChars="100"/>
              <w:rPr>
                <w:rFonts w:hint="eastAsia" w:ascii="仿宋" w:hAnsi="仿宋" w:eastAsia="仿宋" w:cs="仿宋"/>
                <w:b w:val="0"/>
                <w:bCs/>
                <w:color w:val="auto"/>
                <w:sz w:val="24"/>
              </w:rPr>
            </w:pPr>
          </w:p>
        </w:tc>
      </w:tr>
      <w:tr w14:paraId="5742864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3639D6B2">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331E44A5">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46A578CE">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239D4409">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13C23CBD">
            <w:pPr>
              <w:spacing w:line="480" w:lineRule="exact"/>
              <w:ind w:left="210" w:leftChars="100"/>
              <w:rPr>
                <w:rFonts w:hint="eastAsia" w:ascii="仿宋" w:hAnsi="仿宋" w:eastAsia="仿宋" w:cs="仿宋"/>
                <w:b w:val="0"/>
                <w:bCs/>
                <w:color w:val="auto"/>
                <w:sz w:val="24"/>
              </w:rPr>
            </w:pPr>
          </w:p>
        </w:tc>
      </w:tr>
      <w:tr w14:paraId="4D0744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334CD52B">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05746636">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3057F567">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5FA4C565">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711402D3">
            <w:pPr>
              <w:spacing w:line="480" w:lineRule="exact"/>
              <w:ind w:left="210" w:leftChars="100"/>
              <w:rPr>
                <w:rFonts w:hint="eastAsia" w:ascii="仿宋" w:hAnsi="仿宋" w:eastAsia="仿宋" w:cs="仿宋"/>
                <w:b w:val="0"/>
                <w:bCs/>
                <w:color w:val="auto"/>
                <w:sz w:val="24"/>
              </w:rPr>
            </w:pPr>
          </w:p>
        </w:tc>
      </w:tr>
      <w:tr w14:paraId="25D0E2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184655FD">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28B17DAB">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5CC04FC9">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0060B3C6">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7879CFF5">
            <w:pPr>
              <w:spacing w:line="480" w:lineRule="exact"/>
              <w:ind w:left="210" w:leftChars="100"/>
              <w:rPr>
                <w:rFonts w:hint="eastAsia" w:ascii="仿宋" w:hAnsi="仿宋" w:eastAsia="仿宋" w:cs="仿宋"/>
                <w:b w:val="0"/>
                <w:bCs/>
                <w:color w:val="auto"/>
                <w:sz w:val="24"/>
              </w:rPr>
            </w:pPr>
          </w:p>
        </w:tc>
      </w:tr>
      <w:tr w14:paraId="77C2DA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noWrap w:val="0"/>
            <w:tcMar>
              <w:top w:w="57" w:type="dxa"/>
              <w:left w:w="28" w:type="dxa"/>
              <w:bottom w:w="57" w:type="dxa"/>
              <w:right w:w="28" w:type="dxa"/>
            </w:tcMar>
            <w:vAlign w:val="center"/>
          </w:tcPr>
          <w:p w14:paraId="14A4E9FA">
            <w:pPr>
              <w:spacing w:line="480" w:lineRule="exact"/>
              <w:ind w:left="210" w:leftChars="100"/>
              <w:rPr>
                <w:rFonts w:hint="eastAsia" w:ascii="仿宋" w:hAnsi="仿宋" w:eastAsia="仿宋" w:cs="仿宋"/>
                <w:b w:val="0"/>
                <w:bCs/>
                <w:color w:val="auto"/>
                <w:sz w:val="24"/>
              </w:rPr>
            </w:pPr>
          </w:p>
        </w:tc>
        <w:tc>
          <w:tcPr>
            <w:tcW w:w="2478" w:type="dxa"/>
            <w:noWrap w:val="0"/>
            <w:tcMar>
              <w:top w:w="57" w:type="dxa"/>
              <w:left w:w="28" w:type="dxa"/>
              <w:bottom w:w="57" w:type="dxa"/>
              <w:right w:w="28" w:type="dxa"/>
            </w:tcMar>
            <w:vAlign w:val="center"/>
          </w:tcPr>
          <w:p w14:paraId="74A20B70">
            <w:pPr>
              <w:spacing w:line="480" w:lineRule="exact"/>
              <w:ind w:left="210" w:leftChars="100"/>
              <w:rPr>
                <w:rFonts w:hint="eastAsia" w:ascii="仿宋" w:hAnsi="仿宋" w:eastAsia="仿宋" w:cs="仿宋"/>
                <w:b w:val="0"/>
                <w:bCs/>
                <w:color w:val="auto"/>
                <w:sz w:val="24"/>
              </w:rPr>
            </w:pPr>
          </w:p>
        </w:tc>
        <w:tc>
          <w:tcPr>
            <w:tcW w:w="2835" w:type="dxa"/>
            <w:noWrap w:val="0"/>
            <w:tcMar>
              <w:top w:w="57" w:type="dxa"/>
              <w:left w:w="28" w:type="dxa"/>
              <w:bottom w:w="57" w:type="dxa"/>
              <w:right w:w="28" w:type="dxa"/>
            </w:tcMar>
            <w:vAlign w:val="center"/>
          </w:tcPr>
          <w:p w14:paraId="3D7FD1FD">
            <w:pPr>
              <w:spacing w:line="480" w:lineRule="exact"/>
              <w:ind w:left="210" w:leftChars="100"/>
              <w:rPr>
                <w:rFonts w:hint="eastAsia" w:ascii="仿宋" w:hAnsi="仿宋" w:eastAsia="仿宋" w:cs="仿宋"/>
                <w:b w:val="0"/>
                <w:bCs/>
                <w:color w:val="auto"/>
                <w:sz w:val="24"/>
              </w:rPr>
            </w:pPr>
          </w:p>
        </w:tc>
        <w:tc>
          <w:tcPr>
            <w:tcW w:w="1646" w:type="dxa"/>
            <w:noWrap w:val="0"/>
            <w:tcMar>
              <w:top w:w="57" w:type="dxa"/>
              <w:left w:w="28" w:type="dxa"/>
              <w:bottom w:w="57" w:type="dxa"/>
              <w:right w:w="28" w:type="dxa"/>
            </w:tcMar>
            <w:vAlign w:val="center"/>
          </w:tcPr>
          <w:p w14:paraId="35026CC6">
            <w:pPr>
              <w:spacing w:line="480" w:lineRule="exact"/>
              <w:ind w:left="210" w:leftChars="100"/>
              <w:rPr>
                <w:rFonts w:hint="eastAsia" w:ascii="仿宋" w:hAnsi="仿宋" w:eastAsia="仿宋" w:cs="仿宋"/>
                <w:b w:val="0"/>
                <w:bCs/>
                <w:color w:val="auto"/>
                <w:sz w:val="24"/>
              </w:rPr>
            </w:pPr>
          </w:p>
        </w:tc>
        <w:tc>
          <w:tcPr>
            <w:tcW w:w="1299" w:type="dxa"/>
            <w:noWrap w:val="0"/>
            <w:vAlign w:val="center"/>
          </w:tcPr>
          <w:p w14:paraId="640FA09A">
            <w:pPr>
              <w:spacing w:line="480" w:lineRule="exact"/>
              <w:ind w:left="210" w:leftChars="100"/>
              <w:rPr>
                <w:rFonts w:hint="eastAsia" w:ascii="仿宋" w:hAnsi="仿宋" w:eastAsia="仿宋" w:cs="仿宋"/>
                <w:b w:val="0"/>
                <w:bCs/>
                <w:color w:val="auto"/>
                <w:sz w:val="24"/>
              </w:rPr>
            </w:pPr>
          </w:p>
        </w:tc>
      </w:tr>
    </w:tbl>
    <w:p w14:paraId="0C8C32A9">
      <w:pPr>
        <w:spacing w:line="440" w:lineRule="exact"/>
        <w:ind w:firstLine="360" w:firstLineChars="150"/>
        <w:rPr>
          <w:rFonts w:hint="eastAsia" w:ascii="仿宋" w:hAnsi="仿宋" w:eastAsia="仿宋" w:cs="仿宋"/>
          <w:b w:val="0"/>
          <w:bCs/>
          <w:color w:val="auto"/>
          <w:sz w:val="24"/>
        </w:rPr>
      </w:pPr>
    </w:p>
    <w:p w14:paraId="357BB410">
      <w:pPr>
        <w:spacing w:line="440" w:lineRule="exact"/>
        <w:rPr>
          <w:rFonts w:hint="eastAsia" w:ascii="仿宋" w:hAnsi="仿宋" w:eastAsia="仿宋" w:cs="仿宋"/>
          <w:b w:val="0"/>
          <w:bCs/>
          <w:color w:val="auto"/>
          <w:sz w:val="24"/>
          <w:lang w:val="zh-CN"/>
        </w:rPr>
      </w:pPr>
      <w:r>
        <w:rPr>
          <w:rFonts w:hint="eastAsia" w:ascii="仿宋" w:hAnsi="仿宋" w:eastAsia="仿宋" w:cs="仿宋"/>
          <w:b w:val="0"/>
          <w:bCs/>
          <w:color w:val="auto"/>
          <w:sz w:val="24"/>
          <w:lang w:val="zh-CN"/>
        </w:rPr>
        <w:t>备注:</w:t>
      </w:r>
    </w:p>
    <w:p w14:paraId="563812E3">
      <w:pPr>
        <w:spacing w:line="440" w:lineRule="exact"/>
        <w:ind w:firstLine="480" w:firstLineChars="200"/>
        <w:rPr>
          <w:rFonts w:hint="eastAsia" w:ascii="仿宋" w:hAnsi="仿宋" w:eastAsia="仿宋" w:cs="仿宋"/>
          <w:b w:val="0"/>
          <w:bCs/>
          <w:color w:val="auto"/>
          <w:sz w:val="24"/>
          <w:lang w:val="zh-CN"/>
        </w:rPr>
      </w:pPr>
      <w:r>
        <w:rPr>
          <w:rFonts w:hint="eastAsia" w:ascii="仿宋" w:hAnsi="仿宋" w:eastAsia="仿宋" w:cs="仿宋"/>
          <w:b w:val="0"/>
          <w:bCs/>
          <w:color w:val="auto"/>
          <w:sz w:val="24"/>
          <w:lang w:val="zh-CN"/>
        </w:rPr>
        <w:t>1</w:t>
      </w:r>
      <w:r>
        <w:rPr>
          <w:rFonts w:hint="eastAsia" w:ascii="仿宋" w:hAnsi="仿宋" w:eastAsia="仿宋" w:cs="仿宋"/>
          <w:b w:val="0"/>
          <w:bCs/>
          <w:color w:val="auto"/>
          <w:sz w:val="24"/>
          <w:lang w:val="zh-CN" w:eastAsia="zh-CN"/>
        </w:rPr>
        <w:t>.</w:t>
      </w:r>
      <w:r>
        <w:rPr>
          <w:rFonts w:hint="eastAsia" w:ascii="仿宋" w:hAnsi="仿宋" w:eastAsia="仿宋" w:cs="仿宋"/>
          <w:b w:val="0"/>
          <w:bCs/>
          <w:color w:val="auto"/>
          <w:sz w:val="24"/>
        </w:rPr>
        <w:t>本表只填写</w:t>
      </w:r>
      <w:r>
        <w:rPr>
          <w:rFonts w:hint="eastAsia" w:ascii="仿宋" w:hAnsi="仿宋" w:eastAsia="仿宋" w:cs="仿宋"/>
          <w:b w:val="0"/>
          <w:bCs/>
          <w:color w:val="auto"/>
          <w:sz w:val="24"/>
          <w:lang w:val="en-US" w:eastAsia="zh-CN"/>
        </w:rPr>
        <w:t>竞争性磋商响应</w:t>
      </w:r>
      <w:r>
        <w:rPr>
          <w:rFonts w:hint="eastAsia" w:ascii="仿宋" w:hAnsi="仿宋" w:eastAsia="仿宋" w:cs="仿宋"/>
          <w:b w:val="0"/>
          <w:bCs/>
          <w:color w:val="auto"/>
          <w:sz w:val="24"/>
        </w:rPr>
        <w:t>文件中与</w:t>
      </w:r>
      <w:r>
        <w:rPr>
          <w:rFonts w:hint="eastAsia" w:ascii="仿宋" w:hAnsi="仿宋" w:eastAsia="仿宋" w:cs="仿宋"/>
          <w:b w:val="0"/>
          <w:bCs/>
          <w:color w:val="auto"/>
          <w:sz w:val="24"/>
          <w:lang w:val="en-US" w:eastAsia="zh-CN"/>
        </w:rPr>
        <w:t>竞争性磋商</w:t>
      </w:r>
      <w:r>
        <w:rPr>
          <w:rFonts w:hint="eastAsia" w:ascii="仿宋" w:hAnsi="仿宋" w:eastAsia="仿宋" w:cs="仿宋"/>
          <w:b w:val="0"/>
          <w:bCs/>
          <w:color w:val="auto"/>
          <w:sz w:val="24"/>
        </w:rPr>
        <w:t>文件有偏离(包括正偏离和负偏离)的内容</w:t>
      </w:r>
      <w:r>
        <w:rPr>
          <w:rFonts w:hint="eastAsia" w:ascii="仿宋" w:hAnsi="仿宋" w:eastAsia="仿宋" w:cs="仿宋"/>
          <w:b w:val="0"/>
          <w:bCs/>
          <w:color w:val="auto"/>
          <w:sz w:val="24"/>
          <w:lang w:val="zh-CN"/>
        </w:rPr>
        <w:t>，</w:t>
      </w:r>
      <w:r>
        <w:rPr>
          <w:rFonts w:hint="eastAsia" w:ascii="仿宋" w:hAnsi="仿宋" w:eastAsia="仿宋" w:cs="仿宋"/>
          <w:b w:val="0"/>
          <w:bCs/>
          <w:color w:val="auto"/>
          <w:sz w:val="24"/>
          <w:lang w:val="zh-CN" w:eastAsia="zh-CN"/>
        </w:rPr>
        <w:t>“</w:t>
      </w:r>
      <w:r>
        <w:rPr>
          <w:rFonts w:hint="eastAsia" w:ascii="仿宋" w:hAnsi="仿宋" w:eastAsia="仿宋" w:cs="仿宋"/>
          <w:b w:val="0"/>
          <w:bCs/>
          <w:color w:val="auto"/>
          <w:sz w:val="24"/>
          <w:lang w:val="en-US" w:eastAsia="zh-CN"/>
        </w:rPr>
        <w:t>竞争性磋商响应</w:t>
      </w:r>
      <w:r>
        <w:rPr>
          <w:rFonts w:hint="eastAsia" w:ascii="仿宋" w:hAnsi="仿宋" w:eastAsia="仿宋" w:cs="仿宋"/>
          <w:b w:val="0"/>
          <w:bCs/>
          <w:color w:val="auto"/>
          <w:sz w:val="24"/>
          <w:lang w:val="zh-CN"/>
        </w:rPr>
        <w:t>文件</w:t>
      </w:r>
      <w:r>
        <w:rPr>
          <w:rFonts w:hint="eastAsia" w:ascii="仿宋" w:hAnsi="仿宋" w:eastAsia="仿宋" w:cs="仿宋"/>
          <w:b w:val="0"/>
          <w:bCs/>
          <w:color w:val="auto"/>
          <w:sz w:val="24"/>
          <w:lang w:val="zh-CN" w:eastAsia="zh-CN"/>
        </w:rPr>
        <w:t>商务要求</w:t>
      </w:r>
      <w:r>
        <w:rPr>
          <w:rFonts w:hint="eastAsia" w:ascii="仿宋" w:hAnsi="仿宋" w:eastAsia="仿宋" w:cs="仿宋"/>
          <w:b w:val="0"/>
          <w:bCs/>
          <w:color w:val="auto"/>
          <w:sz w:val="24"/>
          <w:lang w:val="zh-CN"/>
        </w:rPr>
        <w:t>响应</w:t>
      </w:r>
      <w:r>
        <w:rPr>
          <w:rFonts w:hint="eastAsia" w:ascii="仿宋" w:hAnsi="仿宋" w:eastAsia="仿宋" w:cs="仿宋"/>
          <w:b w:val="0"/>
          <w:bCs/>
          <w:color w:val="auto"/>
          <w:sz w:val="24"/>
          <w:lang w:val="zh-CN" w:eastAsia="zh-CN"/>
        </w:rPr>
        <w:t>”</w:t>
      </w:r>
      <w:r>
        <w:rPr>
          <w:rFonts w:hint="eastAsia" w:ascii="仿宋" w:hAnsi="仿宋" w:eastAsia="仿宋" w:cs="仿宋"/>
          <w:b w:val="0"/>
          <w:bCs/>
          <w:color w:val="auto"/>
          <w:sz w:val="24"/>
          <w:lang w:val="zh-CN"/>
        </w:rPr>
        <w:t>与</w:t>
      </w:r>
      <w:r>
        <w:rPr>
          <w:rFonts w:hint="eastAsia" w:ascii="仿宋" w:hAnsi="仿宋" w:eastAsia="仿宋" w:cs="仿宋"/>
          <w:b w:val="0"/>
          <w:bCs/>
          <w:color w:val="auto"/>
          <w:sz w:val="24"/>
          <w:lang w:val="en-US" w:eastAsia="zh-CN"/>
        </w:rPr>
        <w:t>竞争性磋商</w:t>
      </w:r>
      <w:r>
        <w:rPr>
          <w:rFonts w:hint="eastAsia" w:ascii="仿宋" w:hAnsi="仿宋" w:eastAsia="仿宋" w:cs="仿宋"/>
          <w:b w:val="0"/>
          <w:bCs/>
          <w:color w:val="auto"/>
          <w:sz w:val="24"/>
          <w:lang w:val="zh-CN"/>
        </w:rPr>
        <w:t>文件</w:t>
      </w:r>
      <w:bookmarkStart w:id="59" w:name="_Toc1511"/>
      <w:r>
        <w:rPr>
          <w:rFonts w:hint="eastAsia" w:ascii="仿宋" w:hAnsi="仿宋" w:eastAsia="仿宋" w:cs="仿宋"/>
          <w:b w:val="0"/>
          <w:bCs/>
          <w:color w:val="auto"/>
          <w:sz w:val="24"/>
          <w:lang w:val="zh-CN" w:eastAsia="zh-CN"/>
        </w:rPr>
        <w:t>“</w:t>
      </w:r>
      <w:bookmarkEnd w:id="59"/>
      <w:r>
        <w:rPr>
          <w:rFonts w:hint="eastAsia" w:ascii="仿宋" w:hAnsi="仿宋" w:eastAsia="仿宋" w:cs="仿宋"/>
          <w:b w:val="0"/>
          <w:bCs/>
          <w:color w:val="auto"/>
          <w:sz w:val="24"/>
          <w:lang w:val="zh-CN" w:eastAsia="zh-CN"/>
        </w:rPr>
        <w:t>3.3商务要求”</w:t>
      </w:r>
      <w:r>
        <w:rPr>
          <w:rFonts w:hint="eastAsia" w:ascii="仿宋" w:hAnsi="仿宋" w:eastAsia="仿宋" w:cs="仿宋"/>
          <w:b w:val="0"/>
          <w:bCs/>
          <w:color w:val="auto"/>
          <w:sz w:val="24"/>
          <w:lang w:val="zh-CN"/>
        </w:rPr>
        <w:t>要求完全一致的，不用在此表中列出，但必须提交空白表（否则视为</w:t>
      </w:r>
      <w:r>
        <w:rPr>
          <w:rFonts w:hint="eastAsia" w:ascii="仿宋" w:hAnsi="仿宋" w:eastAsia="仿宋" w:cs="仿宋"/>
          <w:b w:val="0"/>
          <w:bCs/>
          <w:color w:val="auto"/>
          <w:sz w:val="24"/>
          <w:lang w:val="zh-CN" w:eastAsia="zh-CN"/>
        </w:rPr>
        <w:t>未</w:t>
      </w:r>
      <w:r>
        <w:rPr>
          <w:rFonts w:hint="eastAsia" w:ascii="仿宋" w:hAnsi="仿宋" w:eastAsia="仿宋" w:cs="仿宋"/>
          <w:b w:val="0"/>
          <w:bCs/>
          <w:color w:val="auto"/>
          <w:sz w:val="24"/>
          <w:lang w:val="zh-CN"/>
        </w:rPr>
        <w:t>完全响应</w:t>
      </w:r>
      <w:r>
        <w:rPr>
          <w:rFonts w:hint="eastAsia" w:ascii="仿宋" w:hAnsi="仿宋" w:eastAsia="仿宋" w:cs="仿宋"/>
          <w:b w:val="0"/>
          <w:bCs/>
          <w:color w:val="auto"/>
          <w:sz w:val="24"/>
          <w:lang w:val="en-US" w:eastAsia="zh-CN"/>
        </w:rPr>
        <w:t>竞争性磋商</w:t>
      </w:r>
      <w:r>
        <w:rPr>
          <w:rFonts w:hint="eastAsia" w:ascii="仿宋" w:hAnsi="仿宋" w:eastAsia="仿宋" w:cs="仿宋"/>
          <w:b w:val="0"/>
          <w:bCs/>
          <w:color w:val="auto"/>
          <w:sz w:val="24"/>
          <w:lang w:val="zh-CN"/>
        </w:rPr>
        <w:t>文件要求)。</w:t>
      </w:r>
    </w:p>
    <w:p w14:paraId="1D8A98D4">
      <w:pPr>
        <w:spacing w:line="440" w:lineRule="exact"/>
        <w:ind w:firstLine="480" w:firstLineChars="200"/>
        <w:rPr>
          <w:rFonts w:hint="eastAsia" w:ascii="仿宋" w:hAnsi="仿宋" w:eastAsia="仿宋" w:cs="仿宋"/>
          <w:b w:val="0"/>
          <w:bCs/>
          <w:color w:val="auto"/>
          <w:sz w:val="24"/>
          <w:lang w:val="zh-CN"/>
        </w:rPr>
      </w:pPr>
      <w:r>
        <w:rPr>
          <w:rFonts w:hint="eastAsia" w:ascii="仿宋" w:hAnsi="仿宋" w:eastAsia="仿宋" w:cs="仿宋"/>
          <w:b w:val="0"/>
          <w:bCs/>
          <w:color w:val="auto"/>
          <w:sz w:val="24"/>
          <w:lang w:val="zh-CN" w:eastAsia="zh-CN"/>
        </w:rPr>
        <w:t>2.</w:t>
      </w:r>
      <w:r>
        <w:rPr>
          <w:rFonts w:hint="eastAsia" w:ascii="仿宋" w:hAnsi="仿宋" w:eastAsia="仿宋" w:cs="仿宋"/>
          <w:b w:val="0"/>
          <w:bCs/>
          <w:color w:val="auto"/>
          <w:sz w:val="24"/>
          <w:lang w:val="en-US" w:eastAsia="zh-CN"/>
        </w:rPr>
        <w:t>供应商</w:t>
      </w:r>
      <w:r>
        <w:rPr>
          <w:rFonts w:hint="eastAsia" w:ascii="仿宋" w:hAnsi="仿宋" w:eastAsia="仿宋" w:cs="仿宋"/>
          <w:b w:val="0"/>
          <w:bCs/>
          <w:color w:val="auto"/>
          <w:sz w:val="24"/>
        </w:rPr>
        <w:t>必须据实填写，不得虚假响应，否则将取消其</w:t>
      </w:r>
      <w:r>
        <w:rPr>
          <w:rFonts w:hint="eastAsia" w:ascii="仿宋" w:hAnsi="仿宋" w:eastAsia="仿宋" w:cs="仿宋"/>
          <w:b w:val="0"/>
          <w:bCs/>
          <w:color w:val="auto"/>
          <w:sz w:val="24"/>
          <w:lang w:val="en-US" w:eastAsia="zh-CN"/>
        </w:rPr>
        <w:t>磋商</w:t>
      </w:r>
      <w:r>
        <w:rPr>
          <w:rFonts w:hint="eastAsia" w:ascii="仿宋" w:hAnsi="仿宋" w:eastAsia="仿宋" w:cs="仿宋"/>
          <w:b w:val="0"/>
          <w:bCs/>
          <w:color w:val="auto"/>
          <w:sz w:val="24"/>
        </w:rPr>
        <w:t>或</w:t>
      </w:r>
      <w:r>
        <w:rPr>
          <w:rFonts w:hint="eastAsia" w:ascii="仿宋" w:hAnsi="仿宋" w:eastAsia="仿宋" w:cs="仿宋"/>
          <w:b w:val="0"/>
          <w:bCs/>
          <w:color w:val="auto"/>
          <w:sz w:val="24"/>
          <w:lang w:val="en-US" w:eastAsia="zh-CN"/>
        </w:rPr>
        <w:t>成交</w:t>
      </w:r>
      <w:r>
        <w:rPr>
          <w:rFonts w:hint="eastAsia" w:ascii="仿宋" w:hAnsi="仿宋" w:eastAsia="仿宋" w:cs="仿宋"/>
          <w:b w:val="0"/>
          <w:bCs/>
          <w:color w:val="auto"/>
          <w:sz w:val="24"/>
        </w:rPr>
        <w:t>资格，并按有关规定进</w:t>
      </w:r>
      <w:r>
        <w:rPr>
          <w:rFonts w:hint="eastAsia" w:ascii="仿宋" w:hAnsi="仿宋" w:eastAsia="仿宋" w:cs="仿宋"/>
          <w:b w:val="0"/>
          <w:bCs/>
          <w:color w:val="auto"/>
          <w:sz w:val="24"/>
          <w:lang w:eastAsia="zh-CN"/>
        </w:rPr>
        <w:t>行</w:t>
      </w:r>
      <w:r>
        <w:rPr>
          <w:rFonts w:hint="eastAsia" w:ascii="仿宋" w:hAnsi="仿宋" w:eastAsia="仿宋" w:cs="仿宋"/>
          <w:b w:val="0"/>
          <w:bCs/>
          <w:color w:val="auto"/>
          <w:sz w:val="24"/>
        </w:rPr>
        <w:t>处罚。</w:t>
      </w:r>
    </w:p>
    <w:p w14:paraId="41A23DFD">
      <w:pPr>
        <w:rPr>
          <w:rFonts w:hint="eastAsia" w:ascii="仿宋" w:hAnsi="仿宋" w:eastAsia="仿宋" w:cs="仿宋"/>
          <w:b w:val="0"/>
          <w:bCs/>
          <w:color w:val="auto"/>
          <w:kern w:val="2"/>
          <w:sz w:val="24"/>
          <w:szCs w:val="18"/>
          <w:lang w:val="zh-CN" w:eastAsia="en-US" w:bidi="ar-SA"/>
        </w:rPr>
      </w:pPr>
    </w:p>
    <w:p w14:paraId="093A5645">
      <w:pPr>
        <w:rPr>
          <w:rFonts w:hint="eastAsia" w:ascii="仿宋" w:hAnsi="仿宋" w:eastAsia="仿宋" w:cs="仿宋"/>
        </w:rPr>
      </w:pPr>
      <w:r>
        <w:rPr>
          <w:rFonts w:hint="eastAsia" w:ascii="仿宋" w:hAnsi="仿宋" w:eastAsia="仿宋" w:cs="仿宋"/>
          <w:b w:val="0"/>
          <w:bCs/>
          <w:color w:val="auto"/>
          <w:kern w:val="2"/>
          <w:sz w:val="24"/>
          <w:szCs w:val="18"/>
          <w:lang w:val="zh-CN" w:eastAsia="en-US" w:bidi="ar-SA"/>
        </w:rPr>
        <w:t>法定代表人或被授权人（签字或盖章）</w:t>
      </w:r>
      <w:r>
        <w:rPr>
          <w:rFonts w:hint="eastAsia" w:ascii="仿宋" w:hAnsi="仿宋" w:eastAsia="仿宋" w:cs="仿宋"/>
          <w:b w:val="0"/>
          <w:bCs/>
          <w:color w:val="auto"/>
          <w:kern w:val="2"/>
          <w:sz w:val="24"/>
          <w:szCs w:val="18"/>
          <w:lang w:val="en-US" w:eastAsia="en-US" w:bidi="ar-SA"/>
        </w:rPr>
        <w:t xml:space="preserve"> :</w:t>
      </w:r>
      <w:r>
        <w:rPr>
          <w:rFonts w:hint="eastAsia" w:ascii="仿宋" w:hAnsi="仿宋" w:eastAsia="仿宋" w:cs="仿宋"/>
          <w:b w:val="0"/>
          <w:bCs/>
          <w:color w:val="auto"/>
          <w:kern w:val="2"/>
          <w:sz w:val="24"/>
          <w:szCs w:val="18"/>
          <w:u w:val="single"/>
          <w:lang w:val="en-US" w:eastAsia="en-US" w:bidi="ar-SA"/>
        </w:rPr>
        <w:t xml:space="preserve">             </w:t>
      </w:r>
      <w:r>
        <w:rPr>
          <w:rFonts w:hint="eastAsia" w:ascii="仿宋" w:hAnsi="仿宋" w:eastAsia="仿宋" w:cs="仿宋"/>
          <w:b w:val="0"/>
          <w:bCs/>
          <w:color w:val="auto"/>
          <w:kern w:val="2"/>
          <w:sz w:val="24"/>
          <w:szCs w:val="18"/>
          <w:lang w:val="en-US" w:eastAsia="en-US" w:bidi="ar-SA"/>
        </w:rPr>
        <w:t xml:space="preserve">       日 期：</w:t>
      </w:r>
    </w:p>
    <w:p w14:paraId="15D30204">
      <w:pPr>
        <w:rPr>
          <w:rFonts w:hint="eastAsia" w:ascii="仿宋" w:hAnsi="仿宋" w:eastAsia="仿宋" w:cs="仿宋"/>
          <w:color w:val="auto"/>
        </w:rPr>
      </w:pPr>
      <w:r>
        <w:rPr>
          <w:rFonts w:hint="eastAsia" w:ascii="仿宋" w:hAnsi="仿宋" w:eastAsia="仿宋" w:cs="仿宋"/>
          <w:color w:val="auto"/>
        </w:rPr>
        <w:br w:type="page"/>
      </w:r>
    </w:p>
    <w:p w14:paraId="521B3824">
      <w:pPr>
        <w:pStyle w:val="13"/>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法定代表人授权委托书（格式）</w:t>
      </w:r>
    </w:p>
    <w:p w14:paraId="111C08A1">
      <w:pPr>
        <w:spacing w:line="480" w:lineRule="exact"/>
        <w:ind w:left="210" w:leftChars="100"/>
        <w:jc w:val="center"/>
        <w:rPr>
          <w:rFonts w:hint="eastAsia" w:ascii="仿宋" w:hAnsi="仿宋" w:eastAsia="仿宋" w:cs="仿宋"/>
          <w:b/>
          <w:color w:val="auto"/>
          <w:kern w:val="0"/>
          <w:sz w:val="24"/>
        </w:rPr>
      </w:pPr>
      <w:bookmarkStart w:id="60" w:name="_Toc47261691"/>
      <w:bookmarkStart w:id="61" w:name="_Toc47418732"/>
      <w:bookmarkStart w:id="62" w:name="_Toc47418939"/>
      <w:bookmarkStart w:id="63" w:name="_Toc49019237"/>
      <w:bookmarkStart w:id="64" w:name="_Toc49019498"/>
      <w:bookmarkStart w:id="65" w:name="_Toc47262070"/>
      <w:bookmarkStart w:id="66" w:name="_Toc48791236"/>
      <w:bookmarkStart w:id="67" w:name="_Toc47261886"/>
      <w:bookmarkStart w:id="68" w:name="_Toc47418256"/>
      <w:bookmarkStart w:id="69" w:name="_Toc48995852"/>
      <w:r>
        <w:rPr>
          <w:rFonts w:hint="eastAsia" w:ascii="仿宋" w:hAnsi="仿宋" w:eastAsia="仿宋" w:cs="仿宋"/>
          <w:b/>
          <w:color w:val="auto"/>
          <w:kern w:val="0"/>
          <w:sz w:val="24"/>
          <w:lang w:val="en-US" w:eastAsia="zh-CN"/>
        </w:rPr>
        <w:t>1.</w:t>
      </w:r>
      <w:r>
        <w:rPr>
          <w:rFonts w:hint="eastAsia" w:ascii="仿宋" w:hAnsi="仿宋" w:eastAsia="仿宋" w:cs="仿宋"/>
          <w:b/>
          <w:color w:val="auto"/>
          <w:kern w:val="0"/>
          <w:sz w:val="24"/>
        </w:rPr>
        <w:t>法定代表人资格证明书</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767"/>
      </w:tblGrid>
      <w:tr w14:paraId="5B2DD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159" w:type="dxa"/>
            <w:gridSpan w:val="5"/>
            <w:noWrap w:val="0"/>
            <w:vAlign w:val="top"/>
          </w:tcPr>
          <w:p w14:paraId="35F593DA">
            <w:pPr>
              <w:tabs>
                <w:tab w:val="right" w:leader="dot" w:pos="9022"/>
              </w:tabs>
              <w:autoSpaceDE w:val="0"/>
              <w:autoSpaceDN w:val="0"/>
              <w:adjustRightInd w:val="0"/>
              <w:spacing w:line="500" w:lineRule="exact"/>
              <w:jc w:val="left"/>
              <w:rPr>
                <w:rFonts w:hint="eastAsia" w:ascii="仿宋" w:hAnsi="仿宋" w:eastAsia="仿宋" w:cs="仿宋"/>
                <w:bCs/>
                <w:caps/>
                <w:color w:val="auto"/>
                <w:sz w:val="24"/>
                <w:lang w:eastAsia="zh-CN"/>
              </w:rPr>
            </w:pPr>
            <w:r>
              <w:rPr>
                <w:rFonts w:hint="eastAsia" w:ascii="仿宋" w:hAnsi="仿宋" w:eastAsia="仿宋" w:cs="仿宋"/>
                <w:bCs/>
                <w:caps/>
                <w:color w:val="auto"/>
                <w:sz w:val="24"/>
              </w:rPr>
              <w:t>致：</w:t>
            </w:r>
            <w:r>
              <w:rPr>
                <w:rFonts w:hint="eastAsia" w:ascii="仿宋" w:hAnsi="仿宋" w:eastAsia="仿宋" w:cs="仿宋"/>
                <w:bCs/>
                <w:caps/>
                <w:color w:val="auto"/>
                <w:sz w:val="24"/>
                <w:lang w:eastAsia="zh-CN"/>
              </w:rPr>
              <w:t>中招(陕西)项目管理有限公司</w:t>
            </w:r>
          </w:p>
        </w:tc>
      </w:tr>
      <w:tr w14:paraId="0A03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45014C77">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项目名称</w:t>
            </w:r>
          </w:p>
        </w:tc>
        <w:tc>
          <w:tcPr>
            <w:tcW w:w="8538" w:type="dxa"/>
            <w:gridSpan w:val="4"/>
            <w:noWrap w:val="0"/>
            <w:vAlign w:val="top"/>
          </w:tcPr>
          <w:p w14:paraId="50978191">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7EFB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311395C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项目编号</w:t>
            </w:r>
          </w:p>
        </w:tc>
        <w:tc>
          <w:tcPr>
            <w:tcW w:w="8538" w:type="dxa"/>
            <w:gridSpan w:val="4"/>
            <w:noWrap w:val="0"/>
            <w:vAlign w:val="top"/>
          </w:tcPr>
          <w:p w14:paraId="53C68EDC">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75CD0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5557381D">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权   限</w:t>
            </w:r>
          </w:p>
        </w:tc>
        <w:tc>
          <w:tcPr>
            <w:tcW w:w="8538" w:type="dxa"/>
            <w:gridSpan w:val="4"/>
            <w:noWrap w:val="0"/>
            <w:vAlign w:val="center"/>
          </w:tcPr>
          <w:p w14:paraId="35B91A4B">
            <w:pPr>
              <w:tabs>
                <w:tab w:val="right" w:leader="dot" w:pos="9022"/>
              </w:tabs>
              <w:autoSpaceDE w:val="0"/>
              <w:autoSpaceDN w:val="0"/>
              <w:adjustRightInd w:val="0"/>
              <w:spacing w:line="4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办理本次采购项目的磋商、联系、洽谈、签约、执行等具体事务，签署全部有关文件、文书、协议及合同。</w:t>
            </w:r>
          </w:p>
        </w:tc>
      </w:tr>
      <w:tr w14:paraId="4A4F7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5630A376">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有效期</w:t>
            </w:r>
          </w:p>
        </w:tc>
        <w:tc>
          <w:tcPr>
            <w:tcW w:w="8538" w:type="dxa"/>
            <w:gridSpan w:val="4"/>
            <w:noWrap w:val="0"/>
            <w:vAlign w:val="center"/>
          </w:tcPr>
          <w:p w14:paraId="422CCD57">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自提交磋商响应文件的截止之日起90个日历日</w:t>
            </w:r>
          </w:p>
        </w:tc>
      </w:tr>
      <w:tr w14:paraId="52F57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noWrap w:val="0"/>
            <w:vAlign w:val="center"/>
          </w:tcPr>
          <w:p w14:paraId="64935B58">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企业</w:t>
            </w:r>
          </w:p>
          <w:p w14:paraId="6CFF1FA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信息</w:t>
            </w:r>
          </w:p>
        </w:tc>
        <w:tc>
          <w:tcPr>
            <w:tcW w:w="2470" w:type="dxa"/>
            <w:noWrap w:val="0"/>
            <w:vAlign w:val="top"/>
          </w:tcPr>
          <w:p w14:paraId="33130201">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 xml:space="preserve">企 业 名 称 </w:t>
            </w:r>
          </w:p>
        </w:tc>
        <w:tc>
          <w:tcPr>
            <w:tcW w:w="6068" w:type="dxa"/>
            <w:gridSpan w:val="3"/>
            <w:noWrap w:val="0"/>
            <w:vAlign w:val="top"/>
          </w:tcPr>
          <w:p w14:paraId="3CC198D2">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12447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45ABD8E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top"/>
          </w:tcPr>
          <w:p w14:paraId="7E44A186">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法 定 地 址</w:t>
            </w:r>
          </w:p>
        </w:tc>
        <w:tc>
          <w:tcPr>
            <w:tcW w:w="6068" w:type="dxa"/>
            <w:gridSpan w:val="3"/>
            <w:noWrap w:val="0"/>
            <w:vAlign w:val="top"/>
          </w:tcPr>
          <w:p w14:paraId="7A53B94E">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6F56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361116A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top"/>
          </w:tcPr>
          <w:p w14:paraId="208C9C99">
            <w:pPr>
              <w:tabs>
                <w:tab w:val="right" w:leader="dot" w:pos="9022"/>
              </w:tabs>
              <w:autoSpaceDE w:val="0"/>
              <w:autoSpaceDN w:val="0"/>
              <w:adjustRightInd w:val="0"/>
              <w:spacing w:line="500" w:lineRule="exact"/>
              <w:jc w:val="lef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证</w:t>
            </w:r>
            <w:r>
              <w:rPr>
                <w:rFonts w:hint="eastAsia" w:ascii="仿宋" w:hAnsi="仿宋" w:eastAsia="仿宋" w:cs="仿宋"/>
                <w:bCs/>
                <w:caps/>
                <w:color w:val="auto"/>
                <w:sz w:val="24"/>
                <w:highlight w:val="none"/>
                <w:lang w:val="en-US" w:eastAsia="zh-CN"/>
              </w:rPr>
              <w:t xml:space="preserve">       </w:t>
            </w:r>
            <w:r>
              <w:rPr>
                <w:rFonts w:hint="eastAsia" w:ascii="仿宋" w:hAnsi="仿宋" w:eastAsia="仿宋" w:cs="仿宋"/>
                <w:bCs/>
                <w:caps/>
                <w:color w:val="auto"/>
                <w:sz w:val="24"/>
                <w:highlight w:val="none"/>
              </w:rPr>
              <w:t>号</w:t>
            </w:r>
          </w:p>
        </w:tc>
        <w:tc>
          <w:tcPr>
            <w:tcW w:w="6068" w:type="dxa"/>
            <w:gridSpan w:val="3"/>
            <w:noWrap w:val="0"/>
            <w:vAlign w:val="top"/>
          </w:tcPr>
          <w:p w14:paraId="43E1CE5E">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654FE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327A7864">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top"/>
          </w:tcPr>
          <w:p w14:paraId="5C569E2B">
            <w:pPr>
              <w:tabs>
                <w:tab w:val="right" w:leader="dot" w:pos="9022"/>
              </w:tabs>
              <w:spacing w:line="500" w:lineRule="exact"/>
              <w:rPr>
                <w:rFonts w:hint="eastAsia" w:ascii="仿宋" w:hAnsi="仿宋" w:eastAsia="仿宋" w:cs="仿宋"/>
                <w:bCs/>
                <w:caps/>
                <w:color w:val="auto"/>
                <w:sz w:val="24"/>
              </w:rPr>
            </w:pPr>
            <w:r>
              <w:rPr>
                <w:rFonts w:hint="eastAsia" w:ascii="仿宋" w:hAnsi="仿宋" w:eastAsia="仿宋" w:cs="仿宋"/>
                <w:bCs/>
                <w:caps/>
                <w:color w:val="auto"/>
                <w:sz w:val="24"/>
                <w:lang w:val="en-US" w:eastAsia="zh-CN"/>
              </w:rPr>
              <w:t>发证</w:t>
            </w:r>
            <w:r>
              <w:rPr>
                <w:rFonts w:hint="eastAsia" w:ascii="仿宋" w:hAnsi="仿宋" w:eastAsia="仿宋" w:cs="仿宋"/>
                <w:bCs/>
                <w:caps/>
                <w:color w:val="auto"/>
                <w:sz w:val="24"/>
              </w:rPr>
              <w:t>机关</w:t>
            </w:r>
          </w:p>
        </w:tc>
        <w:tc>
          <w:tcPr>
            <w:tcW w:w="6068" w:type="dxa"/>
            <w:gridSpan w:val="3"/>
            <w:noWrap w:val="0"/>
            <w:vAlign w:val="top"/>
          </w:tcPr>
          <w:p w14:paraId="714E8335">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2379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1594E57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top"/>
          </w:tcPr>
          <w:p w14:paraId="3D6C2FD0">
            <w:pPr>
              <w:tabs>
                <w:tab w:val="right" w:leader="dot" w:pos="9022"/>
              </w:tabs>
              <w:spacing w:line="500" w:lineRule="exact"/>
              <w:rPr>
                <w:rFonts w:hint="eastAsia" w:ascii="仿宋" w:hAnsi="仿宋" w:eastAsia="仿宋" w:cs="仿宋"/>
                <w:bCs/>
                <w:caps/>
                <w:color w:val="auto"/>
                <w:sz w:val="24"/>
              </w:rPr>
            </w:pPr>
            <w:r>
              <w:rPr>
                <w:rFonts w:hint="eastAsia" w:ascii="仿宋" w:hAnsi="仿宋" w:eastAsia="仿宋" w:cs="仿宋"/>
                <w:bCs/>
                <w:caps/>
                <w:color w:val="auto"/>
                <w:sz w:val="24"/>
                <w:lang w:eastAsia="zh-CN"/>
              </w:rPr>
              <w:t>电</w:t>
            </w:r>
            <w:r>
              <w:rPr>
                <w:rFonts w:hint="eastAsia" w:ascii="仿宋" w:hAnsi="仿宋" w:eastAsia="仿宋" w:cs="仿宋"/>
                <w:bCs/>
                <w:caps/>
                <w:color w:val="auto"/>
                <w:sz w:val="24"/>
                <w:lang w:val="en-US" w:eastAsia="zh-CN"/>
              </w:rPr>
              <w:t xml:space="preserve"> </w:t>
            </w:r>
            <w:r>
              <w:rPr>
                <w:rFonts w:hint="eastAsia" w:ascii="仿宋" w:hAnsi="仿宋" w:eastAsia="仿宋" w:cs="仿宋"/>
                <w:bCs/>
                <w:caps/>
                <w:color w:val="auto"/>
                <w:sz w:val="24"/>
                <w:lang w:eastAsia="zh-CN"/>
              </w:rPr>
              <w:t>子</w:t>
            </w:r>
            <w:r>
              <w:rPr>
                <w:rFonts w:hint="eastAsia" w:ascii="仿宋" w:hAnsi="仿宋" w:eastAsia="仿宋" w:cs="仿宋"/>
                <w:bCs/>
                <w:caps/>
                <w:color w:val="auto"/>
                <w:sz w:val="24"/>
                <w:lang w:val="en-US" w:eastAsia="zh-CN"/>
              </w:rPr>
              <w:t xml:space="preserve"> </w:t>
            </w:r>
            <w:r>
              <w:rPr>
                <w:rFonts w:hint="eastAsia" w:ascii="仿宋" w:hAnsi="仿宋" w:eastAsia="仿宋" w:cs="仿宋"/>
                <w:bCs/>
                <w:caps/>
                <w:color w:val="auto"/>
                <w:sz w:val="24"/>
                <w:lang w:eastAsia="zh-CN"/>
              </w:rPr>
              <w:t>邮</w:t>
            </w:r>
            <w:r>
              <w:rPr>
                <w:rFonts w:hint="eastAsia" w:ascii="仿宋" w:hAnsi="仿宋" w:eastAsia="仿宋" w:cs="仿宋"/>
                <w:bCs/>
                <w:caps/>
                <w:color w:val="auto"/>
                <w:sz w:val="24"/>
                <w:lang w:val="en-US" w:eastAsia="zh-CN"/>
              </w:rPr>
              <w:t xml:space="preserve"> </w:t>
            </w:r>
            <w:r>
              <w:rPr>
                <w:rFonts w:hint="eastAsia" w:ascii="仿宋" w:hAnsi="仿宋" w:eastAsia="仿宋" w:cs="仿宋"/>
                <w:bCs/>
                <w:caps/>
                <w:color w:val="auto"/>
                <w:sz w:val="24"/>
                <w:lang w:eastAsia="zh-CN"/>
              </w:rPr>
              <w:t>箱</w:t>
            </w:r>
          </w:p>
        </w:tc>
        <w:tc>
          <w:tcPr>
            <w:tcW w:w="6068" w:type="dxa"/>
            <w:gridSpan w:val="3"/>
            <w:noWrap w:val="0"/>
            <w:vAlign w:val="top"/>
          </w:tcPr>
          <w:p w14:paraId="02B1FB06">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04766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noWrap w:val="0"/>
            <w:vAlign w:val="center"/>
          </w:tcPr>
          <w:p w14:paraId="2294E67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法定代</w:t>
            </w:r>
          </w:p>
          <w:p w14:paraId="4A37C20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表人</w:t>
            </w:r>
          </w:p>
        </w:tc>
        <w:tc>
          <w:tcPr>
            <w:tcW w:w="2470" w:type="dxa"/>
            <w:noWrap w:val="0"/>
            <w:vAlign w:val="top"/>
          </w:tcPr>
          <w:p w14:paraId="6EDC2B25">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rPr>
            </w:pPr>
            <w:r>
              <w:rPr>
                <w:rFonts w:hint="eastAsia" w:ascii="仿宋" w:hAnsi="仿宋" w:eastAsia="仿宋" w:cs="仿宋"/>
                <w:bCs/>
                <w:caps/>
                <w:color w:val="auto"/>
                <w:sz w:val="24"/>
              </w:rPr>
              <w:t>姓    名</w:t>
            </w:r>
          </w:p>
        </w:tc>
        <w:tc>
          <w:tcPr>
            <w:tcW w:w="1965" w:type="dxa"/>
            <w:noWrap w:val="0"/>
            <w:vAlign w:val="top"/>
          </w:tcPr>
          <w:p w14:paraId="66F99BD5">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36" w:type="dxa"/>
            <w:noWrap w:val="0"/>
            <w:vAlign w:val="top"/>
          </w:tcPr>
          <w:p w14:paraId="61CBC878">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性    别</w:t>
            </w:r>
          </w:p>
        </w:tc>
        <w:tc>
          <w:tcPr>
            <w:tcW w:w="2767" w:type="dxa"/>
            <w:noWrap w:val="0"/>
            <w:vAlign w:val="top"/>
          </w:tcPr>
          <w:p w14:paraId="086846E4">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65BDF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13477AA2">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center"/>
          </w:tcPr>
          <w:p w14:paraId="210E7433">
            <w:pPr>
              <w:tabs>
                <w:tab w:val="right" w:leader="dot" w:pos="9022"/>
              </w:tabs>
              <w:autoSpaceDE w:val="0"/>
              <w:autoSpaceDN w:val="0"/>
              <w:adjustRightInd w:val="0"/>
              <w:spacing w:line="500" w:lineRule="exact"/>
              <w:ind w:firstLine="240" w:firstLineChars="100"/>
              <w:jc w:val="both"/>
              <w:rPr>
                <w:rFonts w:hint="eastAsia" w:ascii="仿宋" w:hAnsi="仿宋" w:eastAsia="仿宋" w:cs="仿宋"/>
                <w:bCs/>
                <w:caps/>
                <w:color w:val="auto"/>
                <w:sz w:val="24"/>
              </w:rPr>
            </w:pPr>
            <w:r>
              <w:rPr>
                <w:rFonts w:hint="eastAsia" w:ascii="仿宋" w:hAnsi="仿宋" w:eastAsia="仿宋" w:cs="仿宋"/>
                <w:bCs/>
                <w:caps/>
                <w:color w:val="auto"/>
                <w:sz w:val="24"/>
                <w:lang w:val="en-US" w:eastAsia="zh-CN"/>
              </w:rPr>
              <w:t>身份证号</w:t>
            </w:r>
          </w:p>
        </w:tc>
        <w:tc>
          <w:tcPr>
            <w:tcW w:w="1965" w:type="dxa"/>
            <w:noWrap w:val="0"/>
            <w:vAlign w:val="center"/>
          </w:tcPr>
          <w:p w14:paraId="50AC180D">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p>
        </w:tc>
        <w:tc>
          <w:tcPr>
            <w:tcW w:w="1336" w:type="dxa"/>
            <w:noWrap w:val="0"/>
            <w:vAlign w:val="top"/>
          </w:tcPr>
          <w:p w14:paraId="21650534">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联系电话</w:t>
            </w:r>
          </w:p>
        </w:tc>
        <w:tc>
          <w:tcPr>
            <w:tcW w:w="2767" w:type="dxa"/>
            <w:noWrap w:val="0"/>
            <w:vAlign w:val="top"/>
          </w:tcPr>
          <w:p w14:paraId="5929ADB0">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5AABE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14:paraId="3F0639C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top"/>
          </w:tcPr>
          <w:p w14:paraId="2686BB31">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rPr>
            </w:pPr>
            <w:r>
              <w:rPr>
                <w:rFonts w:hint="eastAsia" w:ascii="仿宋" w:hAnsi="仿宋" w:eastAsia="仿宋" w:cs="仿宋"/>
                <w:bCs/>
                <w:caps/>
                <w:color w:val="auto"/>
                <w:sz w:val="24"/>
              </w:rPr>
              <w:t>传    真</w:t>
            </w:r>
          </w:p>
        </w:tc>
        <w:tc>
          <w:tcPr>
            <w:tcW w:w="6068" w:type="dxa"/>
            <w:gridSpan w:val="3"/>
            <w:noWrap w:val="0"/>
            <w:vAlign w:val="top"/>
          </w:tcPr>
          <w:p w14:paraId="6F2BF760">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16C6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14:paraId="0C44AFBF">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2470" w:type="dxa"/>
            <w:noWrap w:val="0"/>
            <w:vAlign w:val="top"/>
          </w:tcPr>
          <w:p w14:paraId="05E8068A">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auto"/>
                <w:sz w:val="24"/>
              </w:rPr>
            </w:pPr>
            <w:r>
              <w:rPr>
                <w:rFonts w:hint="eastAsia" w:ascii="仿宋" w:hAnsi="仿宋" w:eastAsia="仿宋" w:cs="仿宋"/>
                <w:bCs/>
                <w:caps/>
                <w:color w:val="auto"/>
                <w:sz w:val="24"/>
              </w:rPr>
              <w:t>通讯地址</w:t>
            </w:r>
          </w:p>
        </w:tc>
        <w:tc>
          <w:tcPr>
            <w:tcW w:w="6068" w:type="dxa"/>
            <w:gridSpan w:val="3"/>
            <w:noWrap w:val="0"/>
            <w:vAlign w:val="top"/>
          </w:tcPr>
          <w:p w14:paraId="56E0FEFA">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23494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9" w:hRule="atLeast"/>
          <w:jc w:val="center"/>
        </w:trPr>
        <w:tc>
          <w:tcPr>
            <w:tcW w:w="10159" w:type="dxa"/>
            <w:gridSpan w:val="5"/>
            <w:noWrap w:val="0"/>
            <w:vAlign w:val="top"/>
          </w:tcPr>
          <w:p w14:paraId="7A1B5169">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p w14:paraId="2CDB0905">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法定代表人身份证</w:t>
            </w:r>
          </w:p>
          <w:p w14:paraId="6E9C3E8F">
            <w:pPr>
              <w:tabs>
                <w:tab w:val="right" w:leader="dot" w:pos="9022"/>
              </w:tabs>
              <w:autoSpaceDE w:val="0"/>
              <w:autoSpaceDN w:val="0"/>
              <w:adjustRightInd w:val="0"/>
              <w:spacing w:line="500" w:lineRule="exact"/>
              <w:jc w:val="center"/>
              <w:rPr>
                <w:rFonts w:hint="eastAsia" w:ascii="仿宋" w:hAnsi="仿宋" w:eastAsia="仿宋" w:cs="仿宋"/>
                <w:color w:val="auto"/>
                <w:spacing w:val="-4"/>
                <w:sz w:val="24"/>
              </w:rPr>
            </w:pPr>
          </w:p>
          <w:p w14:paraId="1423F1D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color w:val="auto"/>
                <w:spacing w:val="-4"/>
                <w:sz w:val="24"/>
              </w:rPr>
              <w:t>二代身份证正、反两面</w:t>
            </w:r>
          </w:p>
          <w:p w14:paraId="3528B270">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p w14:paraId="5DEB202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r>
      <w:tr w14:paraId="4EFB1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159" w:type="dxa"/>
            <w:gridSpan w:val="5"/>
            <w:noWrap w:val="0"/>
            <w:vAlign w:val="top"/>
          </w:tcPr>
          <w:p w14:paraId="33B5FEE2">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法定代表人签字或盖章：</w:t>
            </w:r>
          </w:p>
        </w:tc>
      </w:tr>
    </w:tbl>
    <w:p w14:paraId="464C8A3F">
      <w:pPr>
        <w:spacing w:line="480" w:lineRule="exact"/>
        <w:rPr>
          <w:rFonts w:hint="eastAsia" w:ascii="仿宋" w:hAnsi="仿宋" w:eastAsia="仿宋" w:cs="仿宋"/>
          <w:b/>
          <w:bCs/>
          <w:color w:val="auto"/>
          <w:sz w:val="24"/>
          <w:u w:val="single"/>
          <w:lang w:val="en-US" w:eastAsia="zh-CN"/>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（供应商单位公章）   日 期：</w:t>
      </w:r>
      <w:r>
        <w:rPr>
          <w:rFonts w:hint="eastAsia" w:ascii="仿宋" w:hAnsi="仿宋" w:eastAsia="仿宋" w:cs="仿宋"/>
          <w:color w:val="auto"/>
          <w:sz w:val="24"/>
          <w:u w:val="single"/>
          <w:lang w:val="en-US" w:eastAsia="zh-CN"/>
        </w:rPr>
        <w:t xml:space="preserve">           </w:t>
      </w:r>
    </w:p>
    <w:p w14:paraId="669B3208">
      <w:pPr>
        <w:spacing w:line="480" w:lineRule="exact"/>
        <w:ind w:left="210" w:leftChars="100"/>
        <w:jc w:val="left"/>
        <w:rPr>
          <w:rFonts w:hint="eastAsia" w:ascii="仿宋" w:hAnsi="仿宋" w:eastAsia="仿宋" w:cs="仿宋"/>
          <w:b/>
          <w:bCs/>
          <w:color w:val="auto"/>
          <w:sz w:val="36"/>
          <w:szCs w:val="21"/>
        </w:rPr>
      </w:pPr>
      <w:r>
        <w:rPr>
          <w:rFonts w:hint="eastAsia" w:ascii="仿宋" w:hAnsi="仿宋" w:eastAsia="仿宋" w:cs="仿宋"/>
          <w:b/>
          <w:bCs/>
          <w:color w:val="auto"/>
          <w:sz w:val="24"/>
          <w:szCs w:val="24"/>
          <w:lang w:eastAsia="zh-CN"/>
        </w:rPr>
        <w:t>注：法定代表人参加竞争性磋商时提供</w:t>
      </w:r>
    </w:p>
    <w:p w14:paraId="2889FAED">
      <w:pPr>
        <w:spacing w:line="480" w:lineRule="exact"/>
        <w:ind w:left="210" w:leftChars="100"/>
        <w:jc w:val="center"/>
        <w:rPr>
          <w:rFonts w:hint="eastAsia" w:ascii="仿宋" w:hAnsi="仿宋" w:eastAsia="仿宋" w:cs="仿宋"/>
          <w:b/>
          <w:color w:val="auto"/>
          <w:kern w:val="0"/>
          <w:sz w:val="24"/>
        </w:rPr>
      </w:pPr>
      <w:r>
        <w:rPr>
          <w:rFonts w:hint="eastAsia" w:ascii="仿宋" w:hAnsi="仿宋" w:eastAsia="仿宋" w:cs="仿宋"/>
          <w:b/>
          <w:color w:val="auto"/>
          <w:kern w:val="0"/>
          <w:sz w:val="24"/>
        </w:rPr>
        <w:br w:type="page"/>
      </w:r>
      <w:r>
        <w:rPr>
          <w:rFonts w:hint="eastAsia" w:ascii="仿宋" w:hAnsi="仿宋" w:eastAsia="仿宋" w:cs="仿宋"/>
          <w:b/>
          <w:color w:val="auto"/>
          <w:kern w:val="0"/>
          <w:sz w:val="24"/>
          <w:lang w:val="en-US" w:eastAsia="zh-CN"/>
        </w:rPr>
        <w:t>2.</w:t>
      </w:r>
      <w:r>
        <w:rPr>
          <w:rFonts w:hint="eastAsia" w:ascii="仿宋" w:hAnsi="仿宋" w:eastAsia="仿宋" w:cs="仿宋"/>
          <w:b/>
          <w:color w:val="auto"/>
          <w:kern w:val="0"/>
          <w:sz w:val="24"/>
        </w:rPr>
        <w:t>法定代表人授权委托书</w:t>
      </w:r>
    </w:p>
    <w:bookmarkEnd w:id="60"/>
    <w:bookmarkEnd w:id="61"/>
    <w:bookmarkEnd w:id="62"/>
    <w:bookmarkEnd w:id="63"/>
    <w:bookmarkEnd w:id="64"/>
    <w:bookmarkEnd w:id="65"/>
    <w:bookmarkEnd w:id="66"/>
    <w:bookmarkEnd w:id="67"/>
    <w:bookmarkEnd w:id="68"/>
    <w:bookmarkEnd w:id="69"/>
    <w:tbl>
      <w:tblPr>
        <w:tblStyle w:val="10"/>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08"/>
        <w:gridCol w:w="5"/>
        <w:gridCol w:w="846"/>
        <w:gridCol w:w="1559"/>
        <w:gridCol w:w="2886"/>
      </w:tblGrid>
      <w:tr w14:paraId="11DE6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95" w:type="dxa"/>
            <w:gridSpan w:val="8"/>
            <w:noWrap w:val="0"/>
            <w:vAlign w:val="top"/>
          </w:tcPr>
          <w:p w14:paraId="5EB93D18">
            <w:pPr>
              <w:tabs>
                <w:tab w:val="right" w:leader="dot" w:pos="9022"/>
              </w:tabs>
              <w:autoSpaceDE w:val="0"/>
              <w:autoSpaceDN w:val="0"/>
              <w:adjustRightInd w:val="0"/>
              <w:spacing w:line="500" w:lineRule="exact"/>
              <w:jc w:val="left"/>
              <w:rPr>
                <w:rFonts w:hint="eastAsia" w:ascii="仿宋" w:hAnsi="仿宋" w:eastAsia="仿宋" w:cs="仿宋"/>
                <w:bCs/>
                <w:caps/>
                <w:color w:val="auto"/>
                <w:sz w:val="24"/>
                <w:lang w:eastAsia="zh-CN"/>
              </w:rPr>
            </w:pPr>
            <w:r>
              <w:rPr>
                <w:rFonts w:hint="eastAsia" w:ascii="仿宋" w:hAnsi="仿宋" w:eastAsia="仿宋" w:cs="仿宋"/>
                <w:bCs/>
                <w:caps/>
                <w:color w:val="auto"/>
                <w:sz w:val="24"/>
              </w:rPr>
              <w:t>致：</w:t>
            </w:r>
            <w:r>
              <w:rPr>
                <w:rFonts w:hint="eastAsia" w:ascii="仿宋" w:hAnsi="仿宋" w:eastAsia="仿宋" w:cs="仿宋"/>
                <w:bCs/>
                <w:caps/>
                <w:color w:val="auto"/>
                <w:sz w:val="24"/>
                <w:lang w:eastAsia="zh-CN"/>
              </w:rPr>
              <w:t>中招(陕西)项目管理有限公司</w:t>
            </w:r>
          </w:p>
        </w:tc>
      </w:tr>
      <w:tr w14:paraId="113C5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5E83E2D0">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被授</w:t>
            </w:r>
          </w:p>
          <w:p w14:paraId="0780A82B">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权项</w:t>
            </w:r>
          </w:p>
          <w:p w14:paraId="5A70FBF6">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目与</w:t>
            </w:r>
          </w:p>
          <w:p w14:paraId="695D294E">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内容</w:t>
            </w:r>
          </w:p>
        </w:tc>
        <w:tc>
          <w:tcPr>
            <w:tcW w:w="1355" w:type="dxa"/>
            <w:noWrap w:val="0"/>
            <w:vAlign w:val="top"/>
          </w:tcPr>
          <w:p w14:paraId="77304380">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项目名称</w:t>
            </w:r>
          </w:p>
        </w:tc>
        <w:tc>
          <w:tcPr>
            <w:tcW w:w="7138" w:type="dxa"/>
            <w:gridSpan w:val="6"/>
            <w:noWrap w:val="0"/>
            <w:vAlign w:val="top"/>
          </w:tcPr>
          <w:p w14:paraId="666194EA">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48F8C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51A3EAFC">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55" w:type="dxa"/>
            <w:noWrap w:val="0"/>
            <w:vAlign w:val="top"/>
          </w:tcPr>
          <w:p w14:paraId="619DEA8B">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项目编号</w:t>
            </w:r>
          </w:p>
        </w:tc>
        <w:tc>
          <w:tcPr>
            <w:tcW w:w="7138" w:type="dxa"/>
            <w:gridSpan w:val="6"/>
            <w:noWrap w:val="0"/>
            <w:vAlign w:val="top"/>
          </w:tcPr>
          <w:p w14:paraId="20294384">
            <w:pPr>
              <w:tabs>
                <w:tab w:val="right" w:leader="dot" w:pos="9022"/>
              </w:tabs>
              <w:autoSpaceDE w:val="0"/>
              <w:autoSpaceDN w:val="0"/>
              <w:adjustRightInd w:val="0"/>
              <w:spacing w:line="500" w:lineRule="exact"/>
              <w:ind w:firstLine="1200" w:firstLineChars="500"/>
              <w:jc w:val="left"/>
              <w:rPr>
                <w:rFonts w:hint="eastAsia" w:ascii="仿宋" w:hAnsi="仿宋" w:eastAsia="仿宋" w:cs="仿宋"/>
                <w:bCs/>
                <w:caps/>
                <w:color w:val="auto"/>
                <w:sz w:val="24"/>
              </w:rPr>
            </w:pPr>
          </w:p>
        </w:tc>
      </w:tr>
      <w:tr w14:paraId="0110B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565744B8">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55" w:type="dxa"/>
            <w:noWrap w:val="0"/>
            <w:vAlign w:val="center"/>
          </w:tcPr>
          <w:p w14:paraId="4D0BF7E4">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授权范围</w:t>
            </w:r>
          </w:p>
        </w:tc>
        <w:tc>
          <w:tcPr>
            <w:tcW w:w="7138" w:type="dxa"/>
            <w:gridSpan w:val="6"/>
            <w:noWrap w:val="0"/>
            <w:vAlign w:val="top"/>
          </w:tcPr>
          <w:p w14:paraId="521A5D94">
            <w:pPr>
              <w:tabs>
                <w:tab w:val="right" w:leader="dot" w:pos="9022"/>
              </w:tabs>
              <w:autoSpaceDE w:val="0"/>
              <w:autoSpaceDN w:val="0"/>
              <w:adjustRightInd w:val="0"/>
              <w:spacing w:line="4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全权办理本次采购项目的磋商、联系、洽谈、签约、执行等具体事务，签署全部有关文件、文书、协议及合同。</w:t>
            </w:r>
          </w:p>
        </w:tc>
      </w:tr>
      <w:tr w14:paraId="5631C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6D3798C8">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55" w:type="dxa"/>
            <w:noWrap w:val="0"/>
            <w:vAlign w:val="top"/>
          </w:tcPr>
          <w:p w14:paraId="79B1CE52">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法律责任</w:t>
            </w:r>
          </w:p>
        </w:tc>
        <w:tc>
          <w:tcPr>
            <w:tcW w:w="7138" w:type="dxa"/>
            <w:gridSpan w:val="6"/>
            <w:noWrap w:val="0"/>
            <w:vAlign w:val="top"/>
          </w:tcPr>
          <w:p w14:paraId="435479A0">
            <w:pPr>
              <w:tabs>
                <w:tab w:val="right" w:leader="dot" w:pos="9022"/>
              </w:tabs>
              <w:autoSpaceDE w:val="0"/>
              <w:autoSpaceDN w:val="0"/>
              <w:adjustRightInd w:val="0"/>
              <w:spacing w:line="4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本公司对被授权人在本项目中的签名承担全部法律责任。</w:t>
            </w:r>
          </w:p>
        </w:tc>
      </w:tr>
      <w:tr w14:paraId="63D1A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44CC3B7B">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55" w:type="dxa"/>
            <w:noWrap w:val="0"/>
            <w:vAlign w:val="center"/>
          </w:tcPr>
          <w:p w14:paraId="34A90DB9">
            <w:pPr>
              <w:tabs>
                <w:tab w:val="right" w:leader="dot" w:pos="9022"/>
              </w:tabs>
              <w:autoSpaceDE w:val="0"/>
              <w:autoSpaceDN w:val="0"/>
              <w:adjustRightInd w:val="0"/>
              <w:spacing w:line="500" w:lineRule="exact"/>
              <w:rPr>
                <w:rFonts w:hint="eastAsia" w:ascii="仿宋" w:hAnsi="仿宋" w:eastAsia="仿宋" w:cs="仿宋"/>
                <w:bCs/>
                <w:caps/>
                <w:color w:val="auto"/>
                <w:sz w:val="24"/>
              </w:rPr>
            </w:pPr>
            <w:r>
              <w:rPr>
                <w:rFonts w:hint="eastAsia" w:ascii="仿宋" w:hAnsi="仿宋" w:eastAsia="仿宋" w:cs="仿宋"/>
                <w:bCs/>
                <w:caps/>
                <w:color w:val="auto"/>
                <w:sz w:val="24"/>
              </w:rPr>
              <w:t>授权期限</w:t>
            </w:r>
          </w:p>
        </w:tc>
        <w:tc>
          <w:tcPr>
            <w:tcW w:w="7138" w:type="dxa"/>
            <w:gridSpan w:val="6"/>
            <w:noWrap w:val="0"/>
            <w:vAlign w:val="center"/>
          </w:tcPr>
          <w:p w14:paraId="7E79CFF6">
            <w:pPr>
              <w:tabs>
                <w:tab w:val="right" w:leader="dot" w:pos="9022"/>
              </w:tabs>
              <w:autoSpaceDE w:val="0"/>
              <w:autoSpaceDN w:val="0"/>
              <w:adjustRightInd w:val="0"/>
              <w:spacing w:line="400" w:lineRule="exact"/>
              <w:rPr>
                <w:rFonts w:hint="eastAsia" w:ascii="仿宋" w:hAnsi="仿宋" w:eastAsia="仿宋" w:cs="仿宋"/>
                <w:bCs/>
                <w:caps/>
                <w:color w:val="auto"/>
                <w:sz w:val="24"/>
              </w:rPr>
            </w:pPr>
            <w:r>
              <w:rPr>
                <w:rFonts w:hint="eastAsia" w:ascii="仿宋" w:hAnsi="仿宋" w:eastAsia="仿宋" w:cs="仿宋"/>
                <w:bCs/>
                <w:caps/>
                <w:color w:val="auto"/>
                <w:sz w:val="24"/>
              </w:rPr>
              <w:t>本授权书自提交磋商响应文件的截止之日起90个日历日</w:t>
            </w:r>
          </w:p>
        </w:tc>
      </w:tr>
      <w:tr w14:paraId="1D3B5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36B883C5">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企业信息</w:t>
            </w:r>
          </w:p>
        </w:tc>
        <w:tc>
          <w:tcPr>
            <w:tcW w:w="2489" w:type="dxa"/>
            <w:gridSpan w:val="2"/>
            <w:noWrap w:val="0"/>
            <w:vAlign w:val="top"/>
          </w:tcPr>
          <w:p w14:paraId="42A58AAB">
            <w:pPr>
              <w:tabs>
                <w:tab w:val="right" w:leader="dot" w:pos="9022"/>
              </w:tabs>
              <w:autoSpaceDE w:val="0"/>
              <w:autoSpaceDN w:val="0"/>
              <w:adjustRightInd w:val="0"/>
              <w:spacing w:line="400" w:lineRule="exact"/>
              <w:rPr>
                <w:rFonts w:hint="eastAsia" w:ascii="仿宋" w:hAnsi="仿宋" w:eastAsia="仿宋" w:cs="仿宋"/>
                <w:bCs/>
                <w:caps/>
                <w:color w:val="auto"/>
                <w:sz w:val="24"/>
              </w:rPr>
            </w:pPr>
            <w:r>
              <w:rPr>
                <w:rFonts w:hint="eastAsia" w:ascii="仿宋" w:hAnsi="仿宋" w:eastAsia="仿宋" w:cs="仿宋"/>
                <w:bCs/>
                <w:caps/>
                <w:color w:val="auto"/>
                <w:sz w:val="24"/>
              </w:rPr>
              <w:t xml:space="preserve">企 业 名 称 </w:t>
            </w:r>
          </w:p>
        </w:tc>
        <w:tc>
          <w:tcPr>
            <w:tcW w:w="6004" w:type="dxa"/>
            <w:gridSpan w:val="5"/>
            <w:noWrap w:val="0"/>
            <w:vAlign w:val="center"/>
          </w:tcPr>
          <w:p w14:paraId="12B4078B">
            <w:pPr>
              <w:tabs>
                <w:tab w:val="right" w:leader="dot" w:pos="9022"/>
              </w:tabs>
              <w:autoSpaceDE w:val="0"/>
              <w:autoSpaceDN w:val="0"/>
              <w:adjustRightInd w:val="0"/>
              <w:spacing w:line="400" w:lineRule="exact"/>
              <w:rPr>
                <w:rFonts w:hint="eastAsia" w:ascii="仿宋" w:hAnsi="仿宋" w:eastAsia="仿宋" w:cs="仿宋"/>
                <w:bCs/>
                <w:caps/>
                <w:color w:val="auto"/>
                <w:sz w:val="24"/>
              </w:rPr>
            </w:pPr>
          </w:p>
        </w:tc>
      </w:tr>
      <w:tr w14:paraId="11630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69A098E4">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2489" w:type="dxa"/>
            <w:gridSpan w:val="2"/>
            <w:noWrap w:val="0"/>
            <w:vAlign w:val="top"/>
          </w:tcPr>
          <w:p w14:paraId="7105DC4C">
            <w:pPr>
              <w:tabs>
                <w:tab w:val="right" w:leader="dot" w:pos="9022"/>
              </w:tabs>
              <w:autoSpaceDE w:val="0"/>
              <w:autoSpaceDN w:val="0"/>
              <w:adjustRightInd w:val="0"/>
              <w:spacing w:line="400" w:lineRule="exact"/>
              <w:rPr>
                <w:rFonts w:hint="eastAsia" w:ascii="仿宋" w:hAnsi="仿宋" w:eastAsia="仿宋" w:cs="仿宋"/>
                <w:bCs/>
                <w:caps/>
                <w:color w:val="auto"/>
                <w:sz w:val="24"/>
              </w:rPr>
            </w:pPr>
            <w:r>
              <w:rPr>
                <w:rFonts w:hint="eastAsia" w:ascii="仿宋" w:hAnsi="仿宋" w:eastAsia="仿宋" w:cs="仿宋"/>
                <w:bCs/>
                <w:caps/>
                <w:color w:val="auto"/>
                <w:sz w:val="24"/>
              </w:rPr>
              <w:t>法 定 地 址</w:t>
            </w:r>
          </w:p>
        </w:tc>
        <w:tc>
          <w:tcPr>
            <w:tcW w:w="6004" w:type="dxa"/>
            <w:gridSpan w:val="5"/>
            <w:noWrap w:val="0"/>
            <w:vAlign w:val="center"/>
          </w:tcPr>
          <w:p w14:paraId="575DB911">
            <w:pPr>
              <w:tabs>
                <w:tab w:val="right" w:leader="dot" w:pos="9022"/>
              </w:tabs>
              <w:autoSpaceDE w:val="0"/>
              <w:autoSpaceDN w:val="0"/>
              <w:adjustRightInd w:val="0"/>
              <w:spacing w:line="400" w:lineRule="exact"/>
              <w:rPr>
                <w:rFonts w:hint="eastAsia" w:ascii="仿宋" w:hAnsi="仿宋" w:eastAsia="仿宋" w:cs="仿宋"/>
                <w:bCs/>
                <w:caps/>
                <w:color w:val="auto"/>
                <w:sz w:val="24"/>
              </w:rPr>
            </w:pPr>
          </w:p>
        </w:tc>
      </w:tr>
      <w:tr w14:paraId="6267C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2CDA4541">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2489" w:type="dxa"/>
            <w:gridSpan w:val="2"/>
            <w:noWrap w:val="0"/>
            <w:vAlign w:val="top"/>
          </w:tcPr>
          <w:p w14:paraId="640E10CB">
            <w:pPr>
              <w:tabs>
                <w:tab w:val="right" w:leader="dot" w:pos="9022"/>
              </w:tabs>
              <w:autoSpaceDE w:val="0"/>
              <w:autoSpaceDN w:val="0"/>
              <w:adjustRightInd w:val="0"/>
              <w:spacing w:line="400" w:lineRule="exact"/>
              <w:rPr>
                <w:rFonts w:hint="eastAsia" w:ascii="仿宋" w:hAnsi="仿宋" w:eastAsia="仿宋" w:cs="仿宋"/>
                <w:bCs/>
                <w:caps/>
                <w:color w:val="auto"/>
                <w:sz w:val="24"/>
                <w:highlight w:val="none"/>
              </w:rPr>
            </w:pPr>
            <w:r>
              <w:rPr>
                <w:rFonts w:hint="eastAsia" w:ascii="仿宋" w:hAnsi="仿宋" w:eastAsia="仿宋" w:cs="仿宋"/>
                <w:bCs/>
                <w:caps/>
                <w:color w:val="auto"/>
                <w:sz w:val="24"/>
                <w:highlight w:val="none"/>
              </w:rPr>
              <w:t>证</w:t>
            </w:r>
            <w:r>
              <w:rPr>
                <w:rFonts w:hint="eastAsia" w:ascii="仿宋" w:hAnsi="仿宋" w:eastAsia="仿宋" w:cs="仿宋"/>
                <w:bCs/>
                <w:caps/>
                <w:color w:val="auto"/>
                <w:sz w:val="24"/>
                <w:highlight w:val="none"/>
                <w:lang w:val="en-US" w:eastAsia="zh-CN"/>
              </w:rPr>
              <w:t xml:space="preserve">       </w:t>
            </w:r>
            <w:r>
              <w:rPr>
                <w:rFonts w:hint="eastAsia" w:ascii="仿宋" w:hAnsi="仿宋" w:eastAsia="仿宋" w:cs="仿宋"/>
                <w:bCs/>
                <w:caps/>
                <w:color w:val="auto"/>
                <w:sz w:val="24"/>
                <w:highlight w:val="none"/>
              </w:rPr>
              <w:t>号</w:t>
            </w:r>
          </w:p>
        </w:tc>
        <w:tc>
          <w:tcPr>
            <w:tcW w:w="6004" w:type="dxa"/>
            <w:gridSpan w:val="5"/>
            <w:noWrap w:val="0"/>
            <w:vAlign w:val="center"/>
          </w:tcPr>
          <w:p w14:paraId="6C647E01">
            <w:pPr>
              <w:tabs>
                <w:tab w:val="right" w:leader="dot" w:pos="9022"/>
              </w:tabs>
              <w:autoSpaceDE w:val="0"/>
              <w:autoSpaceDN w:val="0"/>
              <w:adjustRightInd w:val="0"/>
              <w:spacing w:line="400" w:lineRule="exact"/>
              <w:rPr>
                <w:rFonts w:hint="eastAsia" w:ascii="仿宋" w:hAnsi="仿宋" w:eastAsia="仿宋" w:cs="仿宋"/>
                <w:bCs/>
                <w:caps/>
                <w:color w:val="auto"/>
                <w:sz w:val="24"/>
              </w:rPr>
            </w:pPr>
          </w:p>
        </w:tc>
      </w:tr>
      <w:tr w14:paraId="464E3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44EEADC7">
            <w:pPr>
              <w:tabs>
                <w:tab w:val="right" w:leader="dot" w:pos="9022"/>
              </w:tabs>
              <w:autoSpaceDE w:val="0"/>
              <w:autoSpaceDN w:val="0"/>
              <w:adjustRightInd w:val="0"/>
              <w:spacing w:line="500" w:lineRule="exact"/>
              <w:rPr>
                <w:rFonts w:hint="eastAsia" w:ascii="仿宋" w:hAnsi="仿宋" w:eastAsia="仿宋" w:cs="仿宋"/>
                <w:bCs/>
                <w:caps/>
                <w:color w:val="auto"/>
                <w:sz w:val="24"/>
              </w:rPr>
            </w:pPr>
            <w:r>
              <w:rPr>
                <w:rFonts w:hint="eastAsia" w:ascii="仿宋" w:hAnsi="仿宋" w:eastAsia="仿宋" w:cs="仿宋"/>
                <w:bCs/>
                <w:caps/>
                <w:color w:val="auto"/>
                <w:sz w:val="24"/>
              </w:rPr>
              <w:t>法定代表人</w:t>
            </w:r>
          </w:p>
        </w:tc>
        <w:tc>
          <w:tcPr>
            <w:tcW w:w="1355" w:type="dxa"/>
            <w:noWrap w:val="0"/>
            <w:vAlign w:val="center"/>
          </w:tcPr>
          <w:p w14:paraId="215ABF37">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姓名</w:t>
            </w:r>
          </w:p>
        </w:tc>
        <w:tc>
          <w:tcPr>
            <w:tcW w:w="2693" w:type="dxa"/>
            <w:gridSpan w:val="4"/>
            <w:noWrap w:val="0"/>
            <w:vAlign w:val="center"/>
          </w:tcPr>
          <w:p w14:paraId="3F3B4C70">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1559" w:type="dxa"/>
            <w:noWrap w:val="0"/>
            <w:vAlign w:val="center"/>
          </w:tcPr>
          <w:p w14:paraId="01E1412E">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性    别</w:t>
            </w:r>
          </w:p>
        </w:tc>
        <w:tc>
          <w:tcPr>
            <w:tcW w:w="2886" w:type="dxa"/>
            <w:noWrap w:val="0"/>
            <w:vAlign w:val="center"/>
          </w:tcPr>
          <w:p w14:paraId="42B33C72">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r>
      <w:tr w14:paraId="042C7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center"/>
          </w:tcPr>
          <w:p w14:paraId="430C8E1E">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55" w:type="dxa"/>
            <w:noWrap w:val="0"/>
            <w:vAlign w:val="center"/>
          </w:tcPr>
          <w:p w14:paraId="1A626C42">
            <w:pPr>
              <w:tabs>
                <w:tab w:val="right" w:leader="dot" w:pos="9022"/>
              </w:tabs>
              <w:autoSpaceDE w:val="0"/>
              <w:autoSpaceDN w:val="0"/>
              <w:adjustRightInd w:val="0"/>
              <w:spacing w:line="500" w:lineRule="exact"/>
              <w:jc w:val="center"/>
              <w:rPr>
                <w:rFonts w:hint="eastAsia" w:ascii="仿宋" w:hAnsi="仿宋" w:eastAsia="仿宋" w:cs="仿宋"/>
                <w:bCs/>
                <w:caps/>
                <w:color w:val="auto"/>
                <w:sz w:val="24"/>
                <w:lang w:eastAsia="zh-CN"/>
              </w:rPr>
            </w:pPr>
            <w:r>
              <w:rPr>
                <w:rFonts w:hint="eastAsia" w:ascii="仿宋" w:hAnsi="仿宋" w:eastAsia="仿宋" w:cs="仿宋"/>
                <w:bCs/>
                <w:caps/>
                <w:color w:val="auto"/>
                <w:sz w:val="24"/>
                <w:lang w:val="en-US" w:eastAsia="zh-CN"/>
              </w:rPr>
              <w:t>身份证号</w:t>
            </w:r>
          </w:p>
        </w:tc>
        <w:tc>
          <w:tcPr>
            <w:tcW w:w="2693" w:type="dxa"/>
            <w:gridSpan w:val="4"/>
            <w:noWrap w:val="0"/>
            <w:vAlign w:val="center"/>
          </w:tcPr>
          <w:p w14:paraId="392F9D9B">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p>
        </w:tc>
        <w:tc>
          <w:tcPr>
            <w:tcW w:w="1559" w:type="dxa"/>
            <w:noWrap w:val="0"/>
            <w:vAlign w:val="center"/>
          </w:tcPr>
          <w:p w14:paraId="3E6F1A71">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手机号码</w:t>
            </w:r>
          </w:p>
        </w:tc>
        <w:tc>
          <w:tcPr>
            <w:tcW w:w="2886" w:type="dxa"/>
            <w:noWrap w:val="0"/>
            <w:vAlign w:val="center"/>
          </w:tcPr>
          <w:p w14:paraId="08778AF5">
            <w:pPr>
              <w:tabs>
                <w:tab w:val="right" w:leader="dot" w:pos="9022"/>
              </w:tabs>
              <w:autoSpaceDE w:val="0"/>
              <w:autoSpaceDN w:val="0"/>
              <w:adjustRightInd w:val="0"/>
              <w:spacing w:line="400" w:lineRule="exact"/>
              <w:rPr>
                <w:rFonts w:hint="eastAsia" w:ascii="仿宋" w:hAnsi="仿宋" w:eastAsia="仿宋" w:cs="仿宋"/>
                <w:bCs/>
                <w:caps/>
                <w:color w:val="auto"/>
                <w:sz w:val="24"/>
              </w:rPr>
            </w:pPr>
          </w:p>
        </w:tc>
      </w:tr>
      <w:tr w14:paraId="2ED3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35F9D2F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被授权人</w:t>
            </w:r>
          </w:p>
        </w:tc>
        <w:tc>
          <w:tcPr>
            <w:tcW w:w="1355" w:type="dxa"/>
            <w:noWrap w:val="0"/>
            <w:vAlign w:val="center"/>
          </w:tcPr>
          <w:p w14:paraId="773F7CF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姓名</w:t>
            </w:r>
          </w:p>
        </w:tc>
        <w:tc>
          <w:tcPr>
            <w:tcW w:w="2693" w:type="dxa"/>
            <w:gridSpan w:val="4"/>
            <w:noWrap w:val="0"/>
            <w:vAlign w:val="center"/>
          </w:tcPr>
          <w:p w14:paraId="5D9B3030">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c>
          <w:tcPr>
            <w:tcW w:w="1559" w:type="dxa"/>
            <w:noWrap w:val="0"/>
            <w:vAlign w:val="center"/>
          </w:tcPr>
          <w:p w14:paraId="28517E23">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性    别</w:t>
            </w:r>
          </w:p>
        </w:tc>
        <w:tc>
          <w:tcPr>
            <w:tcW w:w="2886" w:type="dxa"/>
            <w:noWrap w:val="0"/>
            <w:vAlign w:val="center"/>
          </w:tcPr>
          <w:p w14:paraId="7E97837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p>
        </w:tc>
      </w:tr>
      <w:tr w14:paraId="0E31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4A996546">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1355" w:type="dxa"/>
            <w:noWrap w:val="0"/>
            <w:vAlign w:val="center"/>
          </w:tcPr>
          <w:p w14:paraId="2B8F3C6E">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lang w:val="en-US" w:eastAsia="zh-CN"/>
              </w:rPr>
              <w:t>身份证号</w:t>
            </w:r>
          </w:p>
        </w:tc>
        <w:tc>
          <w:tcPr>
            <w:tcW w:w="2693" w:type="dxa"/>
            <w:gridSpan w:val="4"/>
            <w:noWrap w:val="0"/>
            <w:vAlign w:val="center"/>
          </w:tcPr>
          <w:p w14:paraId="43F19BC9">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p>
        </w:tc>
        <w:tc>
          <w:tcPr>
            <w:tcW w:w="1559" w:type="dxa"/>
            <w:noWrap w:val="0"/>
            <w:vAlign w:val="center"/>
          </w:tcPr>
          <w:p w14:paraId="65B19785">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手机号码</w:t>
            </w:r>
          </w:p>
        </w:tc>
        <w:tc>
          <w:tcPr>
            <w:tcW w:w="2886" w:type="dxa"/>
            <w:noWrap w:val="0"/>
            <w:vAlign w:val="top"/>
          </w:tcPr>
          <w:p w14:paraId="56BDE23B">
            <w:pPr>
              <w:tabs>
                <w:tab w:val="right" w:leader="dot" w:pos="9022"/>
              </w:tabs>
              <w:autoSpaceDE w:val="0"/>
              <w:autoSpaceDN w:val="0"/>
              <w:adjustRightInd w:val="0"/>
              <w:spacing w:line="400" w:lineRule="exact"/>
              <w:rPr>
                <w:rFonts w:hint="eastAsia" w:ascii="仿宋" w:hAnsi="仿宋" w:eastAsia="仿宋" w:cs="仿宋"/>
                <w:bCs/>
                <w:caps/>
                <w:color w:val="auto"/>
                <w:sz w:val="24"/>
              </w:rPr>
            </w:pPr>
          </w:p>
        </w:tc>
      </w:tr>
      <w:tr w14:paraId="0240B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noWrap w:val="0"/>
            <w:vAlign w:val="top"/>
          </w:tcPr>
          <w:p w14:paraId="281349D9">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通讯地址</w:t>
            </w:r>
          </w:p>
        </w:tc>
        <w:tc>
          <w:tcPr>
            <w:tcW w:w="4048" w:type="dxa"/>
            <w:gridSpan w:val="5"/>
            <w:noWrap w:val="0"/>
            <w:vAlign w:val="center"/>
          </w:tcPr>
          <w:p w14:paraId="5DD49670">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p>
        </w:tc>
        <w:tc>
          <w:tcPr>
            <w:tcW w:w="1559" w:type="dxa"/>
            <w:noWrap w:val="0"/>
            <w:vAlign w:val="center"/>
          </w:tcPr>
          <w:p w14:paraId="18339673">
            <w:pPr>
              <w:tabs>
                <w:tab w:val="right" w:leader="dot" w:pos="9022"/>
              </w:tabs>
              <w:autoSpaceDE w:val="0"/>
              <w:autoSpaceDN w:val="0"/>
              <w:adjustRightInd w:val="0"/>
              <w:spacing w:line="4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lang w:val="en-US" w:eastAsia="zh-CN"/>
              </w:rPr>
              <w:t>电子邮箱</w:t>
            </w:r>
          </w:p>
        </w:tc>
        <w:tc>
          <w:tcPr>
            <w:tcW w:w="2886" w:type="dxa"/>
            <w:noWrap w:val="0"/>
            <w:vAlign w:val="top"/>
          </w:tcPr>
          <w:p w14:paraId="79F68210">
            <w:pPr>
              <w:tabs>
                <w:tab w:val="right" w:leader="dot" w:pos="9022"/>
              </w:tabs>
              <w:autoSpaceDE w:val="0"/>
              <w:autoSpaceDN w:val="0"/>
              <w:adjustRightInd w:val="0"/>
              <w:spacing w:line="400" w:lineRule="exact"/>
              <w:rPr>
                <w:rFonts w:hint="eastAsia" w:ascii="仿宋" w:hAnsi="仿宋" w:eastAsia="仿宋" w:cs="仿宋"/>
                <w:bCs/>
                <w:caps/>
                <w:color w:val="auto"/>
                <w:sz w:val="24"/>
              </w:rPr>
            </w:pPr>
          </w:p>
        </w:tc>
      </w:tr>
      <w:tr w14:paraId="234A3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6" w:hRule="atLeast"/>
          <w:jc w:val="center"/>
        </w:trPr>
        <w:tc>
          <w:tcPr>
            <w:tcW w:w="4899" w:type="dxa"/>
            <w:gridSpan w:val="4"/>
            <w:noWrap w:val="0"/>
            <w:vAlign w:val="center"/>
          </w:tcPr>
          <w:p w14:paraId="0D4EECFC">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法定代表人身份证</w:t>
            </w:r>
          </w:p>
          <w:p w14:paraId="6EDEA4C0">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p w14:paraId="2098F4D1">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二代身份证正、反两面</w:t>
            </w:r>
          </w:p>
          <w:p w14:paraId="19562015">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c>
          <w:tcPr>
            <w:tcW w:w="5296" w:type="dxa"/>
            <w:gridSpan w:val="4"/>
            <w:noWrap w:val="0"/>
            <w:vAlign w:val="center"/>
          </w:tcPr>
          <w:p w14:paraId="39F52460">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被授权人身份证</w:t>
            </w:r>
          </w:p>
          <w:p w14:paraId="7DE89FF3">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p w14:paraId="1400DD97">
            <w:pPr>
              <w:tabs>
                <w:tab w:val="right" w:leader="dot" w:pos="9022"/>
              </w:tabs>
              <w:autoSpaceDE w:val="0"/>
              <w:autoSpaceDN w:val="0"/>
              <w:adjustRightInd w:val="0"/>
              <w:spacing w:line="500" w:lineRule="exact"/>
              <w:jc w:val="center"/>
              <w:rPr>
                <w:rFonts w:hint="eastAsia" w:ascii="仿宋" w:hAnsi="仿宋" w:eastAsia="仿宋" w:cs="仿宋"/>
                <w:bCs/>
                <w:caps/>
                <w:color w:val="auto"/>
                <w:sz w:val="24"/>
              </w:rPr>
            </w:pPr>
            <w:r>
              <w:rPr>
                <w:rFonts w:hint="eastAsia" w:ascii="仿宋" w:hAnsi="仿宋" w:eastAsia="仿宋" w:cs="仿宋"/>
                <w:bCs/>
                <w:caps/>
                <w:color w:val="auto"/>
                <w:sz w:val="24"/>
              </w:rPr>
              <w:t>二代身份证正、反两面</w:t>
            </w:r>
          </w:p>
          <w:p w14:paraId="31A5F0A6">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p>
        </w:tc>
      </w:tr>
      <w:tr w14:paraId="5BE88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904" w:type="dxa"/>
            <w:gridSpan w:val="5"/>
            <w:tcBorders>
              <w:bottom w:val="single" w:color="auto" w:sz="4" w:space="0"/>
            </w:tcBorders>
            <w:noWrap w:val="0"/>
            <w:vAlign w:val="center"/>
          </w:tcPr>
          <w:p w14:paraId="6297B383">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法定代表人签字或盖章：</w:t>
            </w:r>
          </w:p>
        </w:tc>
        <w:tc>
          <w:tcPr>
            <w:tcW w:w="5291" w:type="dxa"/>
            <w:gridSpan w:val="3"/>
            <w:tcBorders>
              <w:bottom w:val="single" w:color="auto" w:sz="4" w:space="0"/>
            </w:tcBorders>
            <w:noWrap w:val="0"/>
            <w:vAlign w:val="center"/>
          </w:tcPr>
          <w:p w14:paraId="30F823E9">
            <w:pPr>
              <w:tabs>
                <w:tab w:val="right" w:leader="dot" w:pos="9022"/>
              </w:tabs>
              <w:autoSpaceDE w:val="0"/>
              <w:autoSpaceDN w:val="0"/>
              <w:adjustRightInd w:val="0"/>
              <w:spacing w:line="500" w:lineRule="exact"/>
              <w:jc w:val="left"/>
              <w:rPr>
                <w:rFonts w:hint="eastAsia" w:ascii="仿宋" w:hAnsi="仿宋" w:eastAsia="仿宋" w:cs="仿宋"/>
                <w:bCs/>
                <w:caps/>
                <w:color w:val="auto"/>
                <w:sz w:val="24"/>
              </w:rPr>
            </w:pPr>
            <w:r>
              <w:rPr>
                <w:rFonts w:hint="eastAsia" w:ascii="仿宋" w:hAnsi="仿宋" w:eastAsia="仿宋" w:cs="仿宋"/>
                <w:bCs/>
                <w:caps/>
                <w:color w:val="auto"/>
                <w:sz w:val="24"/>
              </w:rPr>
              <w:t>被授权人签字或盖章：</w:t>
            </w:r>
          </w:p>
        </w:tc>
      </w:tr>
    </w:tbl>
    <w:p w14:paraId="77F0F3E4">
      <w:pPr>
        <w:autoSpaceDE w:val="0"/>
        <w:autoSpaceDN w:val="0"/>
        <w:adjustRightInd w:val="0"/>
        <w:snapToGrid w:val="0"/>
        <w:spacing w:line="480" w:lineRule="exact"/>
        <w:rPr>
          <w:rFonts w:hint="eastAsia" w:ascii="仿宋" w:hAnsi="仿宋" w:eastAsia="仿宋" w:cs="仿宋"/>
          <w:bCs/>
          <w:caps/>
          <w:color w:val="auto"/>
          <w:sz w:val="24"/>
        </w:rPr>
      </w:pPr>
    </w:p>
    <w:p w14:paraId="0C4B5B99">
      <w:pPr>
        <w:autoSpaceDE w:val="0"/>
        <w:autoSpaceDN w:val="0"/>
        <w:adjustRightInd w:val="0"/>
        <w:snapToGrid w:val="0"/>
        <w:spacing w:line="480" w:lineRule="exact"/>
        <w:rPr>
          <w:rFonts w:hint="eastAsia" w:ascii="仿宋" w:hAnsi="仿宋" w:eastAsia="仿宋" w:cs="仿宋"/>
          <w:bCs/>
          <w:caps/>
          <w:color w:val="auto"/>
          <w:sz w:val="24"/>
        </w:rPr>
      </w:pPr>
      <w:r>
        <w:rPr>
          <w:rFonts w:hint="eastAsia" w:ascii="仿宋" w:hAnsi="仿宋" w:eastAsia="仿宋" w:cs="仿宋"/>
          <w:bCs/>
          <w:caps/>
          <w:color w:val="auto"/>
          <w:sz w:val="24"/>
        </w:rPr>
        <w:t>供应商名称：</w:t>
      </w:r>
      <w:r>
        <w:rPr>
          <w:rFonts w:hint="eastAsia" w:ascii="仿宋" w:hAnsi="仿宋" w:eastAsia="仿宋" w:cs="仿宋"/>
          <w:bCs/>
          <w:caps/>
          <w:color w:val="auto"/>
          <w:sz w:val="24"/>
          <w:u w:val="single"/>
        </w:rPr>
        <w:t xml:space="preserve">             </w:t>
      </w:r>
      <w:r>
        <w:rPr>
          <w:rFonts w:hint="eastAsia" w:ascii="仿宋" w:hAnsi="仿宋" w:eastAsia="仿宋" w:cs="仿宋"/>
          <w:bCs/>
          <w:caps/>
          <w:color w:val="auto"/>
          <w:sz w:val="24"/>
        </w:rPr>
        <w:t>（供应商单位公章）     日 期：</w:t>
      </w:r>
      <w:r>
        <w:rPr>
          <w:rFonts w:hint="eastAsia" w:ascii="仿宋" w:hAnsi="仿宋" w:eastAsia="仿宋" w:cs="仿宋"/>
          <w:bCs/>
          <w:caps/>
          <w:color w:val="auto"/>
          <w:sz w:val="24"/>
          <w:u w:val="single"/>
          <w:lang w:val="en-US" w:eastAsia="zh-CN"/>
        </w:rPr>
        <w:t xml:space="preserve">             </w:t>
      </w:r>
      <w:r>
        <w:rPr>
          <w:rFonts w:hint="eastAsia" w:ascii="仿宋" w:hAnsi="仿宋" w:eastAsia="仿宋" w:cs="仿宋"/>
          <w:bCs/>
          <w:caps/>
          <w:color w:val="auto"/>
          <w:sz w:val="24"/>
        </w:rPr>
        <w:t xml:space="preserve">  </w:t>
      </w:r>
    </w:p>
    <w:p w14:paraId="5AEC2379">
      <w:pPr>
        <w:rPr>
          <w:rFonts w:hint="eastAsia" w:ascii="仿宋" w:hAnsi="仿宋" w:eastAsia="仿宋" w:cs="仿宋"/>
        </w:rPr>
      </w:pPr>
      <w:r>
        <w:rPr>
          <w:rFonts w:hint="eastAsia" w:ascii="仿宋" w:hAnsi="仿宋" w:eastAsia="仿宋" w:cs="仿宋"/>
          <w:b/>
          <w:color w:val="auto"/>
          <w:sz w:val="24"/>
          <w:szCs w:val="24"/>
          <w:lang w:eastAsia="zh-CN"/>
        </w:rPr>
        <w:t>注：被</w:t>
      </w:r>
      <w:r>
        <w:rPr>
          <w:rFonts w:hint="eastAsia" w:ascii="仿宋" w:hAnsi="仿宋" w:eastAsia="仿宋" w:cs="仿宋"/>
          <w:b/>
          <w:bCs/>
          <w:color w:val="auto"/>
          <w:sz w:val="24"/>
          <w:szCs w:val="24"/>
        </w:rPr>
        <w:t>授权</w:t>
      </w:r>
      <w:r>
        <w:rPr>
          <w:rFonts w:hint="eastAsia" w:ascii="仿宋" w:hAnsi="仿宋" w:eastAsia="仿宋" w:cs="仿宋"/>
          <w:b/>
          <w:color w:val="auto"/>
          <w:sz w:val="24"/>
          <w:szCs w:val="24"/>
          <w:lang w:eastAsia="zh-CN"/>
        </w:rPr>
        <w:t>人</w:t>
      </w:r>
      <w:r>
        <w:rPr>
          <w:rFonts w:hint="eastAsia" w:ascii="仿宋" w:hAnsi="仿宋" w:eastAsia="仿宋" w:cs="仿宋"/>
          <w:b/>
          <w:bCs/>
          <w:color w:val="auto"/>
          <w:sz w:val="24"/>
          <w:szCs w:val="24"/>
          <w:lang w:eastAsia="zh-CN"/>
        </w:rPr>
        <w:t>参加竞争性磋商</w:t>
      </w:r>
      <w:r>
        <w:rPr>
          <w:rFonts w:hint="eastAsia" w:ascii="仿宋" w:hAnsi="仿宋" w:eastAsia="仿宋" w:cs="仿宋"/>
          <w:b/>
          <w:color w:val="auto"/>
          <w:sz w:val="24"/>
          <w:szCs w:val="24"/>
          <w:lang w:eastAsia="zh-CN"/>
        </w:rPr>
        <w:t>时提供</w:t>
      </w:r>
    </w:p>
    <w:p w14:paraId="77F4CC19">
      <w:pPr>
        <w:rPr>
          <w:rFonts w:hint="eastAsia" w:ascii="仿宋" w:hAnsi="仿宋" w:eastAsia="仿宋" w:cs="仿宋"/>
          <w:color w:val="auto"/>
        </w:rPr>
      </w:pPr>
      <w:r>
        <w:rPr>
          <w:rFonts w:hint="eastAsia" w:ascii="仿宋" w:hAnsi="仿宋" w:eastAsia="仿宋" w:cs="仿宋"/>
          <w:color w:val="auto"/>
        </w:rPr>
        <w:br w:type="page"/>
      </w:r>
    </w:p>
    <w:p w14:paraId="4C5C469E">
      <w:pPr>
        <w:pStyle w:val="13"/>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承诺书（格式）</w:t>
      </w:r>
    </w:p>
    <w:p w14:paraId="14368A93">
      <w:pPr>
        <w:rPr>
          <w:rFonts w:hint="eastAsia" w:ascii="仿宋" w:hAnsi="仿宋" w:eastAsia="仿宋" w:cs="仿宋"/>
          <w:sz w:val="24"/>
          <w:szCs w:val="24"/>
        </w:rPr>
      </w:pPr>
    </w:p>
    <w:p w14:paraId="0BC09D7E">
      <w:pPr>
        <w:rPr>
          <w:rFonts w:hint="eastAsia" w:ascii="仿宋" w:hAnsi="仿宋" w:eastAsia="仿宋" w:cs="仿宋"/>
          <w:sz w:val="24"/>
          <w:szCs w:val="24"/>
        </w:rPr>
      </w:pPr>
    </w:p>
    <w:p w14:paraId="720E3691">
      <w:pPr>
        <w:keepNext/>
        <w:keepLines/>
        <w:widowControl w:val="0"/>
        <w:shd w:val="clear" w:color="auto" w:fill="auto"/>
        <w:spacing w:before="260" w:beforeLines="0" w:after="260" w:afterLines="0" w:line="500" w:lineRule="exact"/>
        <w:jc w:val="center"/>
        <w:outlineLvl w:val="2"/>
        <w:rPr>
          <w:rFonts w:hint="eastAsia" w:ascii="仿宋" w:hAnsi="仿宋" w:eastAsia="仿宋" w:cs="仿宋"/>
          <w:b w:val="0"/>
          <w:bCs/>
          <w:color w:val="auto"/>
          <w:kern w:val="2"/>
          <w:sz w:val="34"/>
          <w:szCs w:val="34"/>
          <w:highlight w:val="none"/>
          <w:lang w:val="en-US" w:eastAsia="zh-CN" w:bidi="ar-SA"/>
        </w:rPr>
      </w:pPr>
      <w:bookmarkStart w:id="70" w:name="_Toc15139"/>
      <w:bookmarkStart w:id="71" w:name="_Toc15976"/>
      <w:bookmarkStart w:id="72" w:name="_Toc18958"/>
      <w:bookmarkStart w:id="73" w:name="_Toc549"/>
      <w:bookmarkStart w:id="74" w:name="_Toc13242"/>
      <w:r>
        <w:rPr>
          <w:rFonts w:hint="eastAsia" w:ascii="仿宋" w:hAnsi="仿宋" w:eastAsia="仿宋" w:cs="仿宋"/>
          <w:b/>
          <w:bCs w:val="0"/>
          <w:color w:val="auto"/>
          <w:kern w:val="2"/>
          <w:sz w:val="34"/>
          <w:szCs w:val="34"/>
          <w:highlight w:val="none"/>
          <w:lang w:val="en-US" w:eastAsia="zh-CN" w:bidi="ar-SA"/>
        </w:rPr>
        <w:t>承诺书（格式）</w:t>
      </w:r>
      <w:bookmarkEnd w:id="70"/>
      <w:bookmarkEnd w:id="71"/>
      <w:bookmarkEnd w:id="72"/>
      <w:bookmarkEnd w:id="73"/>
      <w:bookmarkEnd w:id="74"/>
    </w:p>
    <w:p w14:paraId="6275E7FA">
      <w:pPr>
        <w:shd w:val="clear" w:color="auto" w:fill="auto"/>
        <w:rPr>
          <w:rFonts w:hint="eastAsia" w:ascii="仿宋" w:hAnsi="仿宋" w:eastAsia="仿宋" w:cs="仿宋"/>
          <w:b w:val="0"/>
          <w:bCs/>
          <w:color w:val="auto"/>
          <w:highlight w:val="none"/>
        </w:rPr>
      </w:pPr>
      <w:r>
        <w:rPr>
          <w:rFonts w:hint="eastAsia" w:ascii="仿宋" w:hAnsi="仿宋" w:eastAsia="仿宋" w:cs="仿宋"/>
          <w:b w:val="0"/>
          <w:bCs/>
          <w:color w:val="auto"/>
          <w:highlight w:val="none"/>
        </w:rPr>
        <w:t xml:space="preserve"> </w:t>
      </w:r>
    </w:p>
    <w:p w14:paraId="678EB00C">
      <w:pPr>
        <w:keepNext w:val="0"/>
        <w:keepLines w:val="0"/>
        <w:pageBreakBefore w:val="0"/>
        <w:widowControl w:val="0"/>
        <w:shd w:val="clear" w:color="auto" w:fill="auto"/>
        <w:tabs>
          <w:tab w:val="center" w:pos="4153"/>
          <w:tab w:val="right" w:pos="8306"/>
        </w:tabs>
        <w:kinsoku/>
        <w:wordWrap/>
        <w:overflowPunct/>
        <w:topLinePunct w:val="0"/>
        <w:autoSpaceDE/>
        <w:autoSpaceDN/>
        <w:bidi w:val="0"/>
        <w:adjustRightInd/>
        <w:snapToGrid w:val="0"/>
        <w:spacing w:line="360" w:lineRule="auto"/>
        <w:jc w:val="both"/>
        <w:textAlignment w:val="auto"/>
        <w:rPr>
          <w:rFonts w:hint="eastAsia" w:ascii="仿宋" w:hAnsi="仿宋" w:eastAsia="仿宋" w:cs="仿宋"/>
          <w:b w:val="0"/>
          <w:bCs/>
          <w:color w:val="auto"/>
          <w:kern w:val="2"/>
          <w:sz w:val="24"/>
          <w:szCs w:val="24"/>
          <w:highlight w:val="none"/>
          <w:lang w:val="en-US" w:eastAsia="zh-CN" w:bidi="ar-SA"/>
        </w:rPr>
      </w:pPr>
    </w:p>
    <w:p w14:paraId="40888026">
      <w:pPr>
        <w:keepNext w:val="0"/>
        <w:keepLines w:val="0"/>
        <w:pageBreakBefore w:val="0"/>
        <w:widowControl w:val="0"/>
        <w:shd w:val="clear" w:color="auto" w:fill="auto"/>
        <w:tabs>
          <w:tab w:val="center" w:pos="4153"/>
          <w:tab w:val="right" w:pos="8306"/>
        </w:tabs>
        <w:kinsoku/>
        <w:wordWrap/>
        <w:overflowPunct/>
        <w:topLinePunct w:val="0"/>
        <w:autoSpaceDE/>
        <w:autoSpaceDN/>
        <w:bidi w:val="0"/>
        <w:adjustRightInd/>
        <w:snapToGrid w:val="0"/>
        <w:spacing w:line="360" w:lineRule="auto"/>
        <w:jc w:val="both"/>
        <w:textAlignment w:val="auto"/>
        <w:rPr>
          <w:rFonts w:hint="eastAsia" w:ascii="仿宋" w:hAnsi="仿宋" w:eastAsia="仿宋" w:cs="仿宋"/>
          <w:b w:val="0"/>
          <w:bCs/>
          <w:color w:val="auto"/>
          <w:kern w:val="2"/>
          <w:sz w:val="24"/>
          <w:szCs w:val="24"/>
          <w:highlight w:val="none"/>
          <w:u w:val="single"/>
          <w:lang w:val="en-US" w:eastAsia="zh-CN" w:bidi="ar-SA"/>
        </w:rPr>
      </w:pPr>
      <w:r>
        <w:rPr>
          <w:rFonts w:hint="eastAsia" w:ascii="仿宋" w:hAnsi="仿宋" w:eastAsia="仿宋" w:cs="仿宋"/>
          <w:b w:val="0"/>
          <w:bCs/>
          <w:color w:val="auto"/>
          <w:kern w:val="2"/>
          <w:sz w:val="24"/>
          <w:szCs w:val="24"/>
          <w:highlight w:val="none"/>
          <w:lang w:val="en-US" w:eastAsia="zh-CN" w:bidi="ar-SA"/>
        </w:rPr>
        <w:t>致：</w:t>
      </w:r>
      <w:r>
        <w:rPr>
          <w:rFonts w:hint="eastAsia" w:ascii="仿宋" w:hAnsi="仿宋" w:eastAsia="仿宋" w:cs="仿宋"/>
          <w:b w:val="0"/>
          <w:bCs/>
          <w:color w:val="auto"/>
          <w:kern w:val="2"/>
          <w:sz w:val="24"/>
          <w:szCs w:val="24"/>
          <w:highlight w:val="none"/>
          <w:u w:val="single"/>
          <w:lang w:val="en-US" w:eastAsia="zh-CN" w:bidi="ar-SA"/>
        </w:rPr>
        <w:t xml:space="preserve">   采购人和代理机构  </w:t>
      </w:r>
    </w:p>
    <w:p w14:paraId="15EA0FBE">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ind w:left="0" w:right="0" w:firstLine="480" w:firstLineChars="200"/>
        <w:jc w:val="left"/>
        <w:textAlignment w:val="auto"/>
        <w:rPr>
          <w:rFonts w:hint="eastAsia" w:ascii="仿宋" w:hAnsi="仿宋" w:eastAsia="仿宋" w:cs="仿宋"/>
          <w:b w:val="0"/>
          <w:bCs/>
          <w:color w:val="auto"/>
          <w:kern w:val="0"/>
          <w:sz w:val="24"/>
          <w:szCs w:val="24"/>
          <w:lang w:val="en-US" w:eastAsia="zh-CN" w:bidi="ar"/>
        </w:rPr>
      </w:pPr>
    </w:p>
    <w:p w14:paraId="66B890D3">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firstLine="480" w:firstLineChars="200"/>
        <w:jc w:val="both"/>
        <w:textAlignment w:val="auto"/>
        <w:rPr>
          <w:rFonts w:hint="eastAsia" w:ascii="仿宋" w:hAnsi="仿宋" w:eastAsia="仿宋" w:cs="仿宋"/>
          <w:b w:val="0"/>
          <w:bCs/>
          <w:color w:val="auto"/>
          <w:kern w:val="2"/>
          <w:sz w:val="24"/>
          <w:szCs w:val="24"/>
          <w:highlight w:val="none"/>
          <w:u w:val="none"/>
          <w:lang w:val="en-US" w:eastAsia="zh-CN" w:bidi="ar-SA"/>
        </w:rPr>
      </w:pPr>
      <w:r>
        <w:rPr>
          <w:rFonts w:hint="eastAsia" w:ascii="仿宋" w:hAnsi="仿宋" w:eastAsia="仿宋" w:cs="仿宋"/>
          <w:b w:val="0"/>
          <w:bCs/>
          <w:color w:val="auto"/>
          <w:kern w:val="2"/>
          <w:sz w:val="24"/>
          <w:szCs w:val="24"/>
          <w:highlight w:val="none"/>
          <w:u w:val="none"/>
          <w:lang w:val="en-US" w:eastAsia="zh-CN" w:bidi="ar-SA"/>
        </w:rPr>
        <w:t>我单位自愿参加</w:t>
      </w:r>
      <w:r>
        <w:rPr>
          <w:rFonts w:hint="eastAsia" w:ascii="仿宋" w:hAnsi="仿宋" w:eastAsia="仿宋" w:cs="仿宋"/>
          <w:b w:val="0"/>
          <w:bCs/>
          <w:color w:val="auto"/>
          <w:kern w:val="2"/>
          <w:sz w:val="24"/>
          <w:szCs w:val="24"/>
          <w:highlight w:val="none"/>
          <w:u w:val="single"/>
          <w:lang w:val="en-US" w:eastAsia="zh-CN" w:bidi="ar-SA"/>
        </w:rPr>
        <w:t xml:space="preserve">      项目名称、项目编号     </w:t>
      </w:r>
      <w:r>
        <w:rPr>
          <w:rFonts w:hint="eastAsia" w:ascii="仿宋" w:hAnsi="仿宋" w:eastAsia="仿宋" w:cs="仿宋"/>
          <w:b w:val="0"/>
          <w:bCs/>
          <w:color w:val="auto"/>
          <w:kern w:val="2"/>
          <w:sz w:val="24"/>
          <w:szCs w:val="24"/>
          <w:highlight w:val="none"/>
          <w:u w:val="none"/>
          <w:lang w:val="en-US" w:eastAsia="zh-CN" w:bidi="ar-SA"/>
        </w:rPr>
        <w:t>的采购活动，作为参加本次采购活动的供应商，现承诺，本项目</w:t>
      </w:r>
      <w:r>
        <w:rPr>
          <w:rFonts w:hint="eastAsia" w:ascii="仿宋" w:hAnsi="仿宋" w:eastAsia="仿宋" w:cs="仿宋"/>
          <w:b w:val="0"/>
          <w:bCs/>
          <w:caps/>
          <w:color w:val="auto"/>
          <w:kern w:val="2"/>
          <w:sz w:val="24"/>
          <w:szCs w:val="18"/>
          <w:highlight w:val="none"/>
          <w:lang w:val="en-US" w:eastAsia="zh-CN" w:bidi="ar-SA"/>
        </w:rPr>
        <w:t>被授权人为我公司员工，依法在我公司缴纳</w:t>
      </w:r>
      <w:r>
        <w:rPr>
          <w:rFonts w:hint="eastAsia" w:ascii="仿宋" w:hAnsi="仿宋" w:eastAsia="仿宋" w:cs="仿宋"/>
          <w:b w:val="0"/>
          <w:bCs/>
          <w:color w:val="auto"/>
          <w:kern w:val="2"/>
          <w:sz w:val="24"/>
          <w:szCs w:val="24"/>
          <w:highlight w:val="none"/>
          <w:lang w:val="en-US" w:eastAsia="zh-CN" w:bidi="ar-SA"/>
        </w:rPr>
        <w:t>社会保障资金</w:t>
      </w:r>
      <w:r>
        <w:rPr>
          <w:rFonts w:hint="eastAsia" w:ascii="仿宋" w:hAnsi="仿宋" w:eastAsia="仿宋" w:cs="仿宋"/>
          <w:b w:val="0"/>
          <w:bCs/>
          <w:color w:val="auto"/>
          <w:kern w:val="2"/>
          <w:sz w:val="24"/>
          <w:szCs w:val="24"/>
          <w:highlight w:val="none"/>
          <w:u w:val="none"/>
          <w:lang w:val="en-US" w:eastAsia="zh-CN" w:bidi="ar-SA"/>
        </w:rPr>
        <w:t>。如经查实承诺内容事项存在虚假，我单位愿意接受以提供虚假材料而被追究法律责任。</w:t>
      </w:r>
    </w:p>
    <w:p w14:paraId="00D7A1CF">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leftChars="200" w:firstLine="480" w:firstLineChars="200"/>
        <w:jc w:val="both"/>
        <w:textAlignment w:val="auto"/>
        <w:rPr>
          <w:rFonts w:hint="eastAsia" w:ascii="仿宋" w:hAnsi="仿宋" w:eastAsia="仿宋" w:cs="仿宋"/>
          <w:b w:val="0"/>
          <w:bCs/>
          <w:color w:val="auto"/>
          <w:kern w:val="2"/>
          <w:sz w:val="24"/>
          <w:szCs w:val="24"/>
          <w:highlight w:val="none"/>
          <w:u w:val="none"/>
          <w:lang w:val="en-US" w:eastAsia="zh-CN" w:bidi="ar-SA"/>
        </w:rPr>
      </w:pPr>
    </w:p>
    <w:p w14:paraId="48AFA0CF">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leftChars="200" w:firstLine="480" w:firstLineChars="200"/>
        <w:jc w:val="both"/>
        <w:textAlignment w:val="auto"/>
        <w:rPr>
          <w:rFonts w:hint="eastAsia" w:ascii="仿宋" w:hAnsi="仿宋" w:eastAsia="仿宋" w:cs="仿宋"/>
          <w:b w:val="0"/>
          <w:bCs/>
          <w:color w:val="auto"/>
          <w:kern w:val="2"/>
          <w:sz w:val="24"/>
          <w:szCs w:val="24"/>
          <w:highlight w:val="none"/>
          <w:u w:val="none"/>
          <w:lang w:val="en-US" w:eastAsia="zh-CN" w:bidi="ar-SA"/>
        </w:rPr>
      </w:pPr>
    </w:p>
    <w:p w14:paraId="5B4DD7FB">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firstLine="4560" w:firstLineChars="1900"/>
        <w:jc w:val="both"/>
        <w:textAlignment w:val="auto"/>
        <w:rPr>
          <w:rFonts w:hint="eastAsia" w:ascii="仿宋" w:hAnsi="仿宋" w:eastAsia="仿宋" w:cs="仿宋"/>
          <w:b w:val="0"/>
          <w:bCs/>
          <w:color w:val="auto"/>
          <w:kern w:val="2"/>
          <w:sz w:val="24"/>
          <w:szCs w:val="24"/>
          <w:highlight w:val="none"/>
          <w:u w:val="none"/>
          <w:lang w:val="en-US" w:eastAsia="zh-CN" w:bidi="ar-SA"/>
        </w:rPr>
      </w:pPr>
      <w:r>
        <w:rPr>
          <w:rFonts w:hint="eastAsia" w:ascii="仿宋" w:hAnsi="仿宋" w:eastAsia="仿宋" w:cs="仿宋"/>
          <w:b w:val="0"/>
          <w:bCs/>
          <w:color w:val="auto"/>
          <w:kern w:val="2"/>
          <w:sz w:val="24"/>
          <w:szCs w:val="24"/>
          <w:highlight w:val="none"/>
          <w:u w:val="none"/>
          <w:lang w:val="en-US" w:eastAsia="zh-CN" w:bidi="ar-SA"/>
        </w:rPr>
        <w:t>单位名称（公章）：</w:t>
      </w:r>
    </w:p>
    <w:p w14:paraId="252093D5">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firstLine="3600" w:firstLineChars="1500"/>
        <w:jc w:val="both"/>
        <w:textAlignment w:val="auto"/>
        <w:rPr>
          <w:rFonts w:hint="eastAsia" w:ascii="仿宋" w:hAnsi="仿宋" w:eastAsia="仿宋" w:cs="仿宋"/>
          <w:b w:val="0"/>
          <w:bCs/>
          <w:color w:val="auto"/>
          <w:kern w:val="2"/>
          <w:sz w:val="24"/>
          <w:szCs w:val="24"/>
          <w:highlight w:val="none"/>
          <w:u w:val="none"/>
          <w:lang w:val="en-US" w:eastAsia="zh-CN" w:bidi="ar-SA"/>
        </w:rPr>
      </w:pPr>
      <w:r>
        <w:rPr>
          <w:rFonts w:hint="eastAsia" w:ascii="仿宋" w:hAnsi="仿宋" w:eastAsia="仿宋" w:cs="仿宋"/>
          <w:b w:val="0"/>
          <w:bCs/>
          <w:color w:val="auto"/>
          <w:kern w:val="2"/>
          <w:sz w:val="24"/>
          <w:szCs w:val="24"/>
          <w:highlight w:val="none"/>
          <w:u w:val="none"/>
          <w:lang w:val="en-US" w:eastAsia="zh-CN" w:bidi="ar-SA"/>
        </w:rPr>
        <w:t>法定代表人（签字或盖章）：</w:t>
      </w:r>
    </w:p>
    <w:p w14:paraId="09BDF5CC">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firstLine="3840" w:firstLineChars="1600"/>
        <w:jc w:val="both"/>
        <w:textAlignment w:val="auto"/>
        <w:rPr>
          <w:rFonts w:hint="eastAsia" w:ascii="仿宋" w:hAnsi="仿宋" w:eastAsia="仿宋" w:cs="仿宋"/>
          <w:b w:val="0"/>
          <w:bCs/>
          <w:color w:val="auto"/>
          <w:kern w:val="2"/>
          <w:sz w:val="24"/>
          <w:szCs w:val="24"/>
          <w:highlight w:val="none"/>
          <w:u w:val="none"/>
          <w:lang w:val="en-US" w:eastAsia="zh-CN" w:bidi="ar-SA"/>
        </w:rPr>
      </w:pPr>
      <w:r>
        <w:rPr>
          <w:rFonts w:hint="eastAsia" w:ascii="仿宋" w:hAnsi="仿宋" w:eastAsia="仿宋" w:cs="仿宋"/>
          <w:b w:val="0"/>
          <w:bCs/>
          <w:color w:val="auto"/>
          <w:kern w:val="2"/>
          <w:sz w:val="24"/>
          <w:szCs w:val="24"/>
          <w:highlight w:val="none"/>
          <w:u w:val="none"/>
          <w:lang w:val="en-US" w:eastAsia="zh-CN" w:bidi="ar-SA"/>
        </w:rPr>
        <w:t>被授权人（签字或盖章）：</w:t>
      </w:r>
    </w:p>
    <w:p w14:paraId="254FBFB7">
      <w:pPr>
        <w:keepNext w:val="0"/>
        <w:keepLines w:val="0"/>
        <w:pageBreakBefore w:val="0"/>
        <w:widowControl w:val="0"/>
        <w:numPr>
          <w:ilvl w:val="0"/>
          <w:numId w:val="0"/>
        </w:numPr>
        <w:shd w:val="clear" w:color="auto" w:fill="auto"/>
        <w:tabs>
          <w:tab w:val="center" w:pos="4153"/>
          <w:tab w:val="right" w:pos="8306"/>
        </w:tabs>
        <w:kinsoku/>
        <w:wordWrap/>
        <w:overflowPunct/>
        <w:topLinePunct w:val="0"/>
        <w:autoSpaceDE/>
        <w:autoSpaceDN/>
        <w:bidi w:val="0"/>
        <w:adjustRightInd/>
        <w:snapToGrid w:val="0"/>
        <w:spacing w:line="360" w:lineRule="auto"/>
        <w:ind w:firstLine="5520" w:firstLineChars="2300"/>
        <w:jc w:val="both"/>
        <w:textAlignment w:val="auto"/>
        <w:rPr>
          <w:rFonts w:hint="eastAsia" w:ascii="仿宋" w:hAnsi="仿宋" w:eastAsia="仿宋" w:cs="仿宋"/>
          <w:b w:val="0"/>
          <w:bCs/>
          <w:color w:val="auto"/>
          <w:kern w:val="2"/>
          <w:sz w:val="24"/>
          <w:szCs w:val="24"/>
          <w:highlight w:val="none"/>
          <w:u w:val="none"/>
          <w:lang w:val="en-US" w:eastAsia="zh-CN" w:bidi="ar-SA"/>
        </w:rPr>
      </w:pPr>
      <w:r>
        <w:rPr>
          <w:rFonts w:hint="eastAsia" w:ascii="仿宋" w:hAnsi="仿宋" w:eastAsia="仿宋" w:cs="仿宋"/>
          <w:b w:val="0"/>
          <w:bCs/>
          <w:color w:val="auto"/>
          <w:kern w:val="2"/>
          <w:sz w:val="24"/>
          <w:szCs w:val="24"/>
          <w:highlight w:val="none"/>
          <w:u w:val="none"/>
          <w:lang w:val="en-US" w:eastAsia="zh-CN" w:bidi="ar-SA"/>
        </w:rPr>
        <w:t>日  期 ：</w:t>
      </w:r>
    </w:p>
    <w:p w14:paraId="7E10D9BC">
      <w:pPr>
        <w:bidi w:val="0"/>
        <w:rPr>
          <w:rFonts w:hint="eastAsia" w:ascii="仿宋" w:hAnsi="仿宋" w:eastAsia="仿宋" w:cs="仿宋"/>
          <w:b w:val="0"/>
          <w:bCs/>
          <w:color w:val="auto"/>
          <w:lang w:val="en-US" w:eastAsia="zh-CN"/>
        </w:rPr>
      </w:pPr>
    </w:p>
    <w:p w14:paraId="6716B364">
      <w:pPr>
        <w:bidi w:val="0"/>
        <w:rPr>
          <w:rFonts w:hint="eastAsia" w:ascii="仿宋" w:hAnsi="仿宋" w:eastAsia="仿宋" w:cs="仿宋"/>
          <w:b w:val="0"/>
          <w:bCs/>
          <w:color w:val="auto"/>
          <w:lang w:val="en-US" w:eastAsia="zh-CN"/>
        </w:rPr>
      </w:pPr>
    </w:p>
    <w:p w14:paraId="24D2EDA1">
      <w:pPr>
        <w:bidi w:val="0"/>
        <w:rPr>
          <w:rFonts w:hint="eastAsia" w:ascii="仿宋" w:hAnsi="仿宋" w:eastAsia="仿宋" w:cs="仿宋"/>
          <w:b w:val="0"/>
          <w:bCs/>
          <w:color w:val="auto"/>
          <w:lang w:val="en-US" w:eastAsia="zh-CN"/>
        </w:rPr>
      </w:pPr>
    </w:p>
    <w:p w14:paraId="14A00F21">
      <w:pPr>
        <w:bidi w:val="0"/>
        <w:rPr>
          <w:rFonts w:hint="eastAsia" w:ascii="仿宋" w:hAnsi="仿宋" w:eastAsia="仿宋" w:cs="仿宋"/>
          <w:b w:val="0"/>
          <w:bCs/>
          <w:color w:val="auto"/>
          <w:lang w:val="en-US" w:eastAsia="zh-CN"/>
        </w:rPr>
      </w:pPr>
    </w:p>
    <w:p w14:paraId="0EE0AEA5">
      <w:pPr>
        <w:bidi w:val="0"/>
        <w:rPr>
          <w:rFonts w:hint="eastAsia" w:ascii="仿宋" w:hAnsi="仿宋" w:eastAsia="仿宋" w:cs="仿宋"/>
          <w:b w:val="0"/>
          <w:bCs/>
          <w:color w:val="auto"/>
          <w:lang w:val="en-US" w:eastAsia="zh-CN"/>
        </w:rPr>
      </w:pPr>
    </w:p>
    <w:p w14:paraId="79B3E410">
      <w:pPr>
        <w:bidi w:val="0"/>
        <w:rPr>
          <w:rFonts w:hint="eastAsia" w:ascii="仿宋" w:hAnsi="仿宋" w:eastAsia="仿宋" w:cs="仿宋"/>
          <w:b w:val="0"/>
          <w:bCs/>
          <w:color w:val="auto"/>
          <w:lang w:val="en-US" w:eastAsia="zh-CN"/>
        </w:rPr>
      </w:pPr>
    </w:p>
    <w:p w14:paraId="0C15311E">
      <w:pPr>
        <w:rPr>
          <w:rFonts w:hint="eastAsia" w:ascii="仿宋" w:hAnsi="仿宋" w:eastAsia="仿宋" w:cs="仿宋"/>
        </w:rPr>
      </w:pPr>
      <w:r>
        <w:rPr>
          <w:rFonts w:hint="eastAsia" w:ascii="仿宋" w:hAnsi="仿宋" w:eastAsia="仿宋" w:cs="仿宋"/>
          <w:b/>
          <w:bCs w:val="0"/>
          <w:color w:val="FF0000"/>
          <w:sz w:val="24"/>
          <w:szCs w:val="24"/>
          <w:lang w:val="en-US" w:eastAsia="zh-CN"/>
        </w:rPr>
        <w:t>注：法定代表人直接参加投标时无需提供此承诺书。</w:t>
      </w:r>
    </w:p>
    <w:p w14:paraId="3E6A1016">
      <w:pPr>
        <w:rPr>
          <w:rFonts w:hint="eastAsia" w:ascii="仿宋" w:hAnsi="仿宋" w:eastAsia="仿宋" w:cs="仿宋"/>
          <w:sz w:val="24"/>
          <w:szCs w:val="24"/>
        </w:rPr>
      </w:pPr>
      <w:r>
        <w:rPr>
          <w:rFonts w:hint="eastAsia" w:ascii="仿宋" w:hAnsi="仿宋" w:eastAsia="仿宋" w:cs="仿宋"/>
          <w:sz w:val="24"/>
          <w:szCs w:val="24"/>
        </w:rPr>
        <w:br w:type="page"/>
      </w:r>
    </w:p>
    <w:p w14:paraId="41B8DB4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left"/>
        <w:rPr>
          <w:rFonts w:hint="eastAsia" w:ascii="仿宋" w:hAnsi="仿宋" w:eastAsia="仿宋" w:cs="仿宋"/>
          <w:b/>
          <w:bCs/>
          <w:i w:val="0"/>
          <w:iCs w:val="0"/>
          <w:caps w:val="0"/>
          <w:color w:val="auto"/>
          <w:spacing w:val="0"/>
          <w:sz w:val="24"/>
          <w:szCs w:val="24"/>
          <w:shd w:val="clear" w:fill="FFFFFF"/>
        </w:rPr>
      </w:pPr>
      <w:r>
        <w:rPr>
          <w:rFonts w:hint="eastAsia" w:ascii="仿宋" w:hAnsi="仿宋" w:eastAsia="仿宋" w:cs="仿宋"/>
          <w:b/>
          <w:bCs/>
          <w:sz w:val="24"/>
          <w:szCs w:val="24"/>
        </w:rPr>
        <w:t>资格证明文件</w:t>
      </w:r>
    </w:p>
    <w:p w14:paraId="4C907BB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shd w:val="clear" w:fill="FFFFFF"/>
        </w:rPr>
      </w:pPr>
    </w:p>
    <w:p w14:paraId="0BE122D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1、提供供应商合法注册的法人或其他组织的营业执照/事业单位法人证书/非企业专业服务机构执业许可证/民办非企业单位登记证书；</w:t>
      </w:r>
    </w:p>
    <w:p w14:paraId="72E8997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财务状况报告：提供具有财务审计资质单位出具合法有效的2024年度或2025年度财务报告（成立时间至开标时间不足一年的可提供成立后任意时段的资产负债表）或开标前六个月内其基本开户银行出具的资信证明或政府采购信用担保机构出具的担保函；注：财会〔2023〕15号文《财政部 国务院国资委 金融监管总局关于加强审计报告查验工作的通知》会计师事务所应当主动向被审计单位提供附验证码的审计报告。即2023年及以后的审计报告需附验证码；</w:t>
      </w:r>
    </w:p>
    <w:p w14:paraId="2F835EE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3、税收缴纳证明：提供截止至开标时间前一年内任意一个月的缴纳凭据（增值税、企业所得税至少提供一种，依法免税的供应商应提供相关文件证明）；</w:t>
      </w:r>
    </w:p>
    <w:p w14:paraId="29696D6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4、社会保障资金缴纳证明：提供截止至开标时间前一年内任意一个月的社保缴纳凭据或社保机构开具的社会保险参保缴纳情况证明（依法不需要缴纳社会保障资金的供应商应提供相关证明）；</w:t>
      </w:r>
    </w:p>
    <w:p w14:paraId="0C9664F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5、提供具有履行本合同所必需的设备和专业技术能力的说明及承诺（提供书面说明及承诺，加盖供应商公章）；</w:t>
      </w:r>
    </w:p>
    <w:p w14:paraId="1C5A753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6、提供参加政府采购活动前三年内在经营活动中没有重大违法记录的书面声明（提供书面声明，加盖供应商公章）；</w:t>
      </w:r>
    </w:p>
    <w:p w14:paraId="5B9BFE2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7、</w:t>
      </w:r>
      <w:r>
        <w:rPr>
          <w:rFonts w:hint="eastAsia" w:ascii="仿宋" w:hAnsi="仿宋" w:eastAsia="仿宋" w:cs="仿宋"/>
          <w:i w:val="0"/>
          <w:iCs w:val="0"/>
          <w:caps w:val="0"/>
          <w:color w:val="auto"/>
          <w:spacing w:val="0"/>
          <w:sz w:val="24"/>
          <w:szCs w:val="24"/>
          <w:shd w:val="clear" w:fill="FFFFFF"/>
          <w:lang w:val="en-US" w:eastAsia="zh-CN"/>
        </w:rPr>
        <w:t>法定代表人授权委托书（附法定代表人身份证复印件及被授权人身份证复印件）；法定代表人直接参加磋商提供法定代表人资格证明书（附法定代表人身份证复印件）；采购文件凡是法定代表人之处，非法人单位的负责人均参照执行（式样见响应文件格式）</w:t>
      </w:r>
      <w:r>
        <w:rPr>
          <w:rFonts w:hint="eastAsia" w:ascii="仿宋" w:hAnsi="仿宋" w:eastAsia="仿宋" w:cs="仿宋"/>
          <w:i w:val="0"/>
          <w:iCs w:val="0"/>
          <w:caps w:val="0"/>
          <w:color w:val="auto"/>
          <w:spacing w:val="0"/>
          <w:sz w:val="24"/>
          <w:szCs w:val="24"/>
          <w:shd w:val="clear" w:fill="FFFFFF"/>
        </w:rPr>
        <w:t>；</w:t>
      </w:r>
    </w:p>
    <w:p w14:paraId="4738669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lang w:val="en-US" w:eastAsia="zh-CN"/>
        </w:rPr>
        <w:t>8</w:t>
      </w:r>
      <w:r>
        <w:rPr>
          <w:rFonts w:hint="eastAsia" w:ascii="仿宋" w:hAnsi="仿宋" w:eastAsia="仿宋" w:cs="仿宋"/>
          <w:i w:val="0"/>
          <w:iCs w:val="0"/>
          <w:caps w:val="0"/>
          <w:color w:val="auto"/>
          <w:spacing w:val="0"/>
          <w:sz w:val="24"/>
          <w:szCs w:val="24"/>
          <w:shd w:val="clear" w:fill="FFFFFF"/>
        </w:rPr>
        <w:t>、信用查询：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根据财库〔2019〕38号文规定，此项在磋商截止日当天在“信用中国”网站和中国政府采购网站进行查询，截图留档；如网站无供应商信息的，供应商须提供相关证明资料或书面声明）；</w:t>
      </w:r>
    </w:p>
    <w:p w14:paraId="68A3793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仿宋" w:hAnsi="仿宋" w:eastAsia="仿宋" w:cs="仿宋"/>
          <w:i w:val="0"/>
          <w:iCs w:val="0"/>
          <w:caps w:val="0"/>
          <w:color w:val="auto"/>
          <w:spacing w:val="0"/>
          <w:sz w:val="24"/>
          <w:szCs w:val="24"/>
          <w:shd w:val="clear" w:fill="FFFFFF"/>
          <w:lang w:val="en-US" w:eastAsia="zh-CN"/>
        </w:rPr>
      </w:pPr>
      <w:r>
        <w:rPr>
          <w:rFonts w:hint="eastAsia" w:ascii="仿宋" w:hAnsi="仿宋" w:eastAsia="仿宋" w:cs="仿宋"/>
          <w:i w:val="0"/>
          <w:iCs w:val="0"/>
          <w:caps w:val="0"/>
          <w:color w:val="auto"/>
          <w:spacing w:val="0"/>
          <w:sz w:val="24"/>
          <w:szCs w:val="24"/>
          <w:shd w:val="clear" w:fill="FFFFFF"/>
          <w:lang w:val="en-US" w:eastAsia="zh-CN"/>
        </w:rPr>
        <w:t>9</w:t>
      </w:r>
      <w:r>
        <w:rPr>
          <w:rFonts w:hint="eastAsia" w:ascii="仿宋" w:hAnsi="仿宋" w:eastAsia="仿宋" w:cs="仿宋"/>
          <w:i w:val="0"/>
          <w:iCs w:val="0"/>
          <w:caps w:val="0"/>
          <w:color w:val="auto"/>
          <w:spacing w:val="0"/>
          <w:sz w:val="24"/>
          <w:szCs w:val="24"/>
          <w:shd w:val="clear" w:fill="FFFFFF"/>
        </w:rPr>
        <w:t>、控股关系</w:t>
      </w:r>
      <w:r>
        <w:rPr>
          <w:rFonts w:hint="eastAsia" w:ascii="仿宋" w:hAnsi="仿宋" w:eastAsia="仿宋" w:cs="仿宋"/>
          <w:i w:val="0"/>
          <w:iCs w:val="0"/>
          <w:caps w:val="0"/>
          <w:color w:val="auto"/>
          <w:spacing w:val="0"/>
          <w:sz w:val="24"/>
          <w:szCs w:val="24"/>
          <w:shd w:val="clear" w:fill="FFFFFF"/>
          <w:lang w:val="en-US" w:eastAsia="zh-CN"/>
        </w:rPr>
        <w:t>查询</w:t>
      </w:r>
      <w:r>
        <w:rPr>
          <w:rFonts w:hint="eastAsia" w:ascii="仿宋" w:hAnsi="仿宋" w:eastAsia="仿宋" w:cs="仿宋"/>
          <w:i w:val="0"/>
          <w:iCs w:val="0"/>
          <w:caps w:val="0"/>
          <w:color w:val="auto"/>
          <w:spacing w:val="0"/>
          <w:sz w:val="24"/>
          <w:szCs w:val="24"/>
          <w:shd w:val="clear" w:fill="FFFFFF"/>
        </w:rPr>
        <w:t>：单位负责人为同一人或者存在直接控股、管理关系的不同供应商，不得参加同一合同项下的政府采购活动。（根据财库〔2019〕38号文规定，此项在磋商截止日当天在“国家企业信用信息公示系统”进行查询，截</w:t>
      </w:r>
      <w:r>
        <w:rPr>
          <w:rFonts w:hint="eastAsia" w:ascii="仿宋" w:hAnsi="仿宋" w:eastAsia="仿宋" w:cs="仿宋"/>
          <w:i w:val="0"/>
          <w:iCs w:val="0"/>
          <w:caps w:val="0"/>
          <w:color w:val="auto"/>
          <w:spacing w:val="0"/>
          <w:sz w:val="24"/>
          <w:szCs w:val="24"/>
          <w:shd w:val="clear" w:fill="FFFFFF"/>
          <w:lang w:val="en-US" w:eastAsia="zh-CN"/>
        </w:rPr>
        <w:t>图留档；如网站无供应商信息的，供应商须提供相关证明资料或书面声明）。</w:t>
      </w:r>
    </w:p>
    <w:p w14:paraId="039E16E6">
      <w:pPr>
        <w:rPr>
          <w:rFonts w:hint="eastAsia" w:ascii="仿宋" w:hAnsi="仿宋" w:eastAsia="仿宋" w:cs="仿宋"/>
          <w:color w:val="auto"/>
        </w:rPr>
      </w:pPr>
      <w:r>
        <w:rPr>
          <w:rFonts w:hint="eastAsia" w:ascii="仿宋" w:hAnsi="仿宋" w:eastAsia="仿宋" w:cs="仿宋"/>
          <w:color w:val="auto"/>
        </w:rPr>
        <w:br w:type="page"/>
      </w:r>
    </w:p>
    <w:p w14:paraId="63177CBD">
      <w:pPr>
        <w:bidi w:val="0"/>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服务方案</w:t>
      </w:r>
      <w:r>
        <w:rPr>
          <w:rFonts w:hint="eastAsia" w:ascii="仿宋" w:hAnsi="仿宋" w:eastAsia="仿宋" w:cs="仿宋"/>
          <w:b/>
          <w:bCs/>
          <w:sz w:val="24"/>
          <w:szCs w:val="24"/>
          <w:highlight w:val="none"/>
          <w:lang w:eastAsia="zh-CN"/>
        </w:rPr>
        <w:t>：根据评分标准自行编制，并在本文档中编辑目录</w:t>
      </w:r>
      <w:r>
        <w:rPr>
          <w:rFonts w:hint="eastAsia" w:ascii="仿宋" w:hAnsi="仿宋" w:eastAsia="仿宋" w:cs="仿宋"/>
          <w:b/>
          <w:bCs/>
          <w:sz w:val="24"/>
          <w:szCs w:val="24"/>
          <w:highlight w:val="none"/>
          <w:lang w:val="en-US" w:eastAsia="zh-CN"/>
        </w:rPr>
        <w:t>页码</w:t>
      </w:r>
      <w:r>
        <w:rPr>
          <w:rFonts w:hint="eastAsia" w:ascii="仿宋" w:hAnsi="仿宋" w:eastAsia="仿宋" w:cs="仿宋"/>
          <w:b/>
          <w:bCs/>
          <w:sz w:val="24"/>
          <w:szCs w:val="24"/>
          <w:highlight w:val="none"/>
          <w:lang w:eastAsia="zh-CN"/>
        </w:rPr>
        <w:t>。</w:t>
      </w:r>
    </w:p>
    <w:p w14:paraId="7FEA22CB">
      <w:pPr>
        <w:bidi w:val="0"/>
        <w:spacing w:line="360" w:lineRule="auto"/>
        <w:rPr>
          <w:rFonts w:hint="eastAsia" w:ascii="仿宋" w:hAnsi="仿宋" w:eastAsia="仿宋" w:cs="仿宋"/>
          <w:b/>
          <w:bCs/>
          <w:sz w:val="24"/>
          <w:szCs w:val="24"/>
          <w:highlight w:val="green"/>
          <w:lang w:eastAsia="zh-CN"/>
        </w:rPr>
      </w:pPr>
    </w:p>
    <w:p w14:paraId="1E48AC53">
      <w:pPr>
        <w:bidi w:val="0"/>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sz w:val="24"/>
          <w:szCs w:val="24"/>
          <w:highlight w:val="none"/>
          <w:lang w:eastAsia="zh-CN"/>
        </w:rPr>
        <w:t>目录</w:t>
      </w:r>
    </w:p>
    <w:p w14:paraId="48687387">
      <w:pPr>
        <w:jc w:val="center"/>
        <w:rPr>
          <w:rFonts w:hint="eastAsia" w:ascii="仿宋" w:hAnsi="仿宋" w:eastAsia="仿宋" w:cs="仿宋"/>
          <w:sz w:val="24"/>
          <w:szCs w:val="24"/>
          <w:highlight w:val="green"/>
          <w:lang w:eastAsia="zh-CN"/>
        </w:rPr>
      </w:pPr>
    </w:p>
    <w:p w14:paraId="5FB311E5">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培训大纲</w:t>
      </w:r>
      <w:r>
        <w:rPr>
          <w:rFonts w:hint="eastAsia" w:ascii="仿宋" w:hAnsi="仿宋" w:eastAsia="仿宋" w:cs="仿宋"/>
          <w:b/>
          <w:bCs/>
          <w:sz w:val="24"/>
          <w:szCs w:val="24"/>
          <w:highlight w:val="none"/>
          <w:lang w:val="en-US" w:eastAsia="zh-CN"/>
        </w:rPr>
        <w:t>-------------------------------------------页码</w:t>
      </w:r>
    </w:p>
    <w:p w14:paraId="141BEFEC">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服务保障措施</w:t>
      </w:r>
      <w:r>
        <w:rPr>
          <w:rFonts w:hint="eastAsia" w:ascii="仿宋" w:hAnsi="仿宋" w:eastAsia="仿宋" w:cs="仿宋"/>
          <w:b/>
          <w:bCs/>
          <w:sz w:val="24"/>
          <w:szCs w:val="24"/>
          <w:highlight w:val="none"/>
          <w:lang w:val="en-US" w:eastAsia="zh-CN"/>
        </w:rPr>
        <w:t>---------------------------------------页码</w:t>
      </w:r>
    </w:p>
    <w:p w14:paraId="456024A9">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应急管理措施</w:t>
      </w:r>
      <w:r>
        <w:rPr>
          <w:rFonts w:hint="eastAsia" w:ascii="仿宋" w:hAnsi="仿宋" w:eastAsia="仿宋" w:cs="仿宋"/>
          <w:b/>
          <w:bCs/>
          <w:sz w:val="24"/>
          <w:szCs w:val="24"/>
          <w:highlight w:val="none"/>
          <w:lang w:val="en-US" w:eastAsia="zh-CN"/>
        </w:rPr>
        <w:t>---------------------------------------页码</w:t>
      </w:r>
    </w:p>
    <w:p w14:paraId="27CDF7E2">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合理化建议</w:t>
      </w:r>
      <w:r>
        <w:rPr>
          <w:rFonts w:hint="eastAsia" w:ascii="仿宋" w:hAnsi="仿宋" w:eastAsia="仿宋" w:cs="仿宋"/>
          <w:b/>
          <w:bCs/>
          <w:sz w:val="24"/>
          <w:szCs w:val="24"/>
          <w:highlight w:val="none"/>
          <w:lang w:val="en-US" w:eastAsia="zh-CN"/>
        </w:rPr>
        <w:t>-----------------------------------------页码</w:t>
      </w:r>
    </w:p>
    <w:p w14:paraId="6529B727">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住宿服务方案</w:t>
      </w:r>
      <w:r>
        <w:rPr>
          <w:rFonts w:hint="eastAsia" w:ascii="仿宋" w:hAnsi="仿宋" w:eastAsia="仿宋" w:cs="仿宋"/>
          <w:b/>
          <w:bCs/>
          <w:sz w:val="24"/>
          <w:szCs w:val="24"/>
          <w:highlight w:val="none"/>
          <w:lang w:val="en-US" w:eastAsia="zh-CN"/>
        </w:rPr>
        <w:t>---------------------------------------页码</w:t>
      </w:r>
    </w:p>
    <w:p w14:paraId="31A266CA">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教学场地</w:t>
      </w:r>
      <w:r>
        <w:rPr>
          <w:rFonts w:hint="eastAsia" w:ascii="仿宋" w:hAnsi="仿宋" w:eastAsia="仿宋" w:cs="仿宋"/>
          <w:b/>
          <w:bCs/>
          <w:sz w:val="24"/>
          <w:szCs w:val="24"/>
          <w:highlight w:val="none"/>
          <w:lang w:val="en-US" w:eastAsia="zh-CN"/>
        </w:rPr>
        <w:t>-------------------------------------------页码</w:t>
      </w:r>
    </w:p>
    <w:p w14:paraId="583D0A7B">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餐饮服务方案</w:t>
      </w:r>
      <w:r>
        <w:rPr>
          <w:rFonts w:hint="eastAsia" w:ascii="仿宋" w:hAnsi="仿宋" w:eastAsia="仿宋" w:cs="仿宋"/>
          <w:b/>
          <w:bCs/>
          <w:sz w:val="24"/>
          <w:szCs w:val="24"/>
          <w:highlight w:val="none"/>
          <w:lang w:val="en-US" w:eastAsia="zh-CN"/>
        </w:rPr>
        <w:t>---------------------------------------页码</w:t>
      </w:r>
    </w:p>
    <w:p w14:paraId="7310E76C">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服务人员配备</w:t>
      </w:r>
      <w:r>
        <w:rPr>
          <w:rFonts w:hint="eastAsia" w:ascii="仿宋" w:hAnsi="仿宋" w:eastAsia="仿宋" w:cs="仿宋"/>
          <w:b/>
          <w:bCs/>
          <w:sz w:val="24"/>
          <w:szCs w:val="24"/>
          <w:highlight w:val="none"/>
          <w:lang w:val="en-US" w:eastAsia="zh-CN"/>
        </w:rPr>
        <w:t>---------------------------------------页码</w:t>
      </w:r>
    </w:p>
    <w:p w14:paraId="07A8CCDE">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bCs/>
          <w:i w:val="0"/>
          <w:iCs w:val="0"/>
          <w:caps w:val="0"/>
          <w:color w:val="000000"/>
          <w:spacing w:val="0"/>
          <w:sz w:val="24"/>
          <w:szCs w:val="24"/>
          <w:highlight w:val="none"/>
        </w:rPr>
      </w:pPr>
      <w:r>
        <w:rPr>
          <w:rFonts w:hint="eastAsia" w:ascii="仿宋" w:hAnsi="仿宋" w:eastAsia="仿宋" w:cs="仿宋"/>
          <w:sz w:val="24"/>
          <w:szCs w:val="24"/>
          <w:highlight w:val="none"/>
          <w:lang w:val="en-US" w:eastAsia="zh-CN"/>
        </w:rPr>
        <w:t>师资力量</w:t>
      </w:r>
      <w:r>
        <w:rPr>
          <w:rFonts w:hint="eastAsia" w:ascii="仿宋" w:hAnsi="仿宋" w:eastAsia="仿宋" w:cs="仿宋"/>
          <w:b/>
          <w:bCs/>
          <w:sz w:val="24"/>
          <w:szCs w:val="24"/>
          <w:highlight w:val="none"/>
          <w:lang w:val="en-US" w:eastAsia="zh-CN"/>
        </w:rPr>
        <w:t>-------------------------------------------页码</w:t>
      </w:r>
    </w:p>
    <w:p w14:paraId="29D955CF">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uto"/>
        <w:ind w:left="425" w:leftChars="0" w:right="60" w:hanging="425" w:firstLineChars="0"/>
        <w:jc w:val="left"/>
        <w:textAlignment w:val="center"/>
        <w:rPr>
          <w:rFonts w:hint="eastAsia" w:ascii="仿宋" w:hAnsi="仿宋" w:eastAsia="仿宋" w:cs="仿宋"/>
          <w:b w:val="0"/>
          <w:bCs w:val="0"/>
          <w:i w:val="0"/>
          <w:iCs w:val="0"/>
          <w:caps w:val="0"/>
          <w:color w:val="000000"/>
          <w:spacing w:val="0"/>
          <w:sz w:val="24"/>
          <w:szCs w:val="24"/>
          <w:highlight w:val="none"/>
        </w:rPr>
      </w:pPr>
      <w:r>
        <w:rPr>
          <w:rFonts w:hint="eastAsia" w:ascii="仿宋" w:hAnsi="仿宋" w:eastAsia="仿宋" w:cs="仿宋"/>
          <w:b w:val="0"/>
          <w:bCs w:val="0"/>
          <w:sz w:val="24"/>
          <w:szCs w:val="24"/>
          <w:highlight w:val="none"/>
          <w:lang w:val="en-US" w:eastAsia="zh-CN"/>
        </w:rPr>
        <w:t>增值服务-------------------------------------</w:t>
      </w:r>
      <w:r>
        <w:rPr>
          <w:rFonts w:hint="eastAsia" w:ascii="仿宋" w:hAnsi="仿宋" w:eastAsia="仿宋" w:cs="仿宋"/>
          <w:b/>
          <w:bCs/>
          <w:sz w:val="24"/>
          <w:szCs w:val="24"/>
          <w:highlight w:val="none"/>
          <w:lang w:val="en-US" w:eastAsia="zh-CN"/>
        </w:rPr>
        <w:t>------页码</w:t>
      </w:r>
    </w:p>
    <w:p w14:paraId="5EB32072">
      <w:pPr>
        <w:rPr>
          <w:rFonts w:hint="eastAsia" w:ascii="仿宋" w:hAnsi="仿宋" w:eastAsia="仿宋" w:cs="仿宋"/>
          <w:color w:val="auto"/>
        </w:rPr>
      </w:pPr>
      <w:r>
        <w:rPr>
          <w:rFonts w:hint="eastAsia" w:ascii="仿宋" w:hAnsi="仿宋" w:eastAsia="仿宋" w:cs="仿宋"/>
          <w:color w:val="auto"/>
        </w:rPr>
        <w:br w:type="page"/>
      </w:r>
    </w:p>
    <w:p w14:paraId="4F01227F">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业绩</w:t>
      </w:r>
    </w:p>
    <w:p w14:paraId="1AB8D392">
      <w:pPr>
        <w:rPr>
          <w:rFonts w:hint="eastAsia" w:ascii="仿宋" w:hAnsi="仿宋" w:eastAsia="仿宋" w:cs="仿宋"/>
          <w:b/>
          <w:bCs/>
          <w:sz w:val="24"/>
          <w:szCs w:val="24"/>
          <w:lang w:eastAsia="zh-CN"/>
        </w:rPr>
      </w:pPr>
    </w:p>
    <w:p w14:paraId="6DEC2119">
      <w:pPr>
        <w:jc w:val="center"/>
        <w:rPr>
          <w:rFonts w:hint="eastAsia" w:ascii="仿宋" w:hAnsi="仿宋" w:eastAsia="仿宋" w:cs="仿宋"/>
        </w:rPr>
      </w:pPr>
      <w:r>
        <w:rPr>
          <w:rFonts w:hint="eastAsia" w:ascii="仿宋" w:hAnsi="仿宋" w:eastAsia="仿宋" w:cs="仿宋"/>
          <w:b/>
          <w:bCs/>
          <w:sz w:val="24"/>
          <w:szCs w:val="24"/>
          <w:lang w:eastAsia="zh-CN"/>
        </w:rPr>
        <w:t>根据评分标准自行编制</w:t>
      </w:r>
    </w:p>
    <w:p w14:paraId="1569AA87">
      <w:pPr>
        <w:rPr>
          <w:rFonts w:hint="eastAsia" w:ascii="仿宋" w:hAnsi="仿宋" w:eastAsia="仿宋" w:cs="仿宋"/>
          <w:color w:val="auto"/>
        </w:rPr>
      </w:pPr>
      <w:r>
        <w:rPr>
          <w:rFonts w:hint="eastAsia" w:ascii="仿宋" w:hAnsi="仿宋" w:eastAsia="仿宋" w:cs="仿宋"/>
          <w:color w:val="auto"/>
        </w:rPr>
        <w:br w:type="page"/>
      </w:r>
    </w:p>
    <w:p w14:paraId="28A85AC0">
      <w:pPr>
        <w:spacing w:line="600" w:lineRule="exact"/>
        <w:jc w:val="both"/>
        <w:rPr>
          <w:rFonts w:hint="eastAsia" w:ascii="仿宋" w:hAnsi="仿宋" w:eastAsia="仿宋" w:cs="仿宋"/>
          <w:b/>
          <w:bCs/>
          <w:color w:val="auto"/>
          <w:sz w:val="24"/>
          <w:szCs w:val="24"/>
          <w:lang w:eastAsia="zh-CN"/>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eastAsia="zh-CN"/>
        </w:rPr>
        <w:t>供应商</w:t>
      </w:r>
      <w:r>
        <w:rPr>
          <w:rFonts w:hint="eastAsia" w:ascii="仿宋" w:hAnsi="仿宋" w:eastAsia="仿宋" w:cs="仿宋"/>
          <w:b/>
          <w:color w:val="auto"/>
          <w:sz w:val="24"/>
          <w:szCs w:val="24"/>
        </w:rPr>
        <w:t>参与政府采购活动的承诺函》（格式）</w:t>
      </w:r>
    </w:p>
    <w:p w14:paraId="106CFA18">
      <w:pPr>
        <w:bidi w:val="0"/>
        <w:jc w:val="center"/>
        <w:rPr>
          <w:rFonts w:hint="eastAsia" w:ascii="仿宋" w:hAnsi="仿宋" w:eastAsia="仿宋" w:cs="仿宋"/>
          <w:b/>
          <w:bCs/>
          <w:sz w:val="28"/>
          <w:szCs w:val="28"/>
          <w:lang w:eastAsia="zh-CN"/>
        </w:rPr>
      </w:pPr>
    </w:p>
    <w:p w14:paraId="1B2B448C">
      <w:pPr>
        <w:bidi w:val="0"/>
        <w:jc w:val="center"/>
        <w:rPr>
          <w:rFonts w:hint="eastAsia" w:ascii="仿宋" w:hAnsi="仿宋" w:eastAsia="仿宋" w:cs="仿宋"/>
          <w:b/>
          <w:bCs/>
          <w:color w:val="FF0000"/>
          <w:sz w:val="24"/>
          <w:szCs w:val="24"/>
          <w:lang w:eastAsia="zh-CN"/>
        </w:rPr>
      </w:pPr>
      <w:r>
        <w:rPr>
          <w:rFonts w:hint="eastAsia" w:ascii="仿宋" w:hAnsi="仿宋" w:eastAsia="仿宋" w:cs="仿宋"/>
          <w:b/>
          <w:bCs/>
          <w:sz w:val="28"/>
          <w:szCs w:val="28"/>
          <w:lang w:eastAsia="zh-CN"/>
        </w:rPr>
        <w:t>供应商参与政府采购活动的承诺函</w:t>
      </w:r>
    </w:p>
    <w:p w14:paraId="569B6F02">
      <w:pPr>
        <w:keepNext w:val="0"/>
        <w:keepLines w:val="0"/>
        <w:pageBreakBefore w:val="0"/>
        <w:widowControl w:val="0"/>
        <w:tabs>
          <w:tab w:val="center" w:pos="4153"/>
          <w:tab w:val="right" w:pos="8306"/>
        </w:tabs>
        <w:kinsoku/>
        <w:wordWrap/>
        <w:overflowPunct/>
        <w:topLinePunct w:val="0"/>
        <w:autoSpaceDE/>
        <w:autoSpaceDN/>
        <w:bidi w:val="0"/>
        <w:adjustRightInd/>
        <w:snapToGrid w:val="0"/>
        <w:spacing w:line="360" w:lineRule="auto"/>
        <w:jc w:val="both"/>
        <w:textAlignment w:val="auto"/>
        <w:rPr>
          <w:rFonts w:hint="eastAsia" w:ascii="仿宋" w:hAnsi="仿宋" w:eastAsia="仿宋" w:cs="仿宋"/>
          <w:b/>
          <w:bCs/>
          <w:color w:val="auto"/>
          <w:kern w:val="2"/>
          <w:sz w:val="24"/>
          <w:szCs w:val="24"/>
          <w:lang w:val="en-US" w:eastAsia="zh-CN" w:bidi="ar-SA"/>
        </w:rPr>
      </w:pPr>
    </w:p>
    <w:p w14:paraId="13B2384B">
      <w:pPr>
        <w:keepNext w:val="0"/>
        <w:keepLines w:val="0"/>
        <w:pageBreakBefore w:val="0"/>
        <w:widowControl w:val="0"/>
        <w:tabs>
          <w:tab w:val="center" w:pos="4153"/>
          <w:tab w:val="right" w:pos="8306"/>
        </w:tabs>
        <w:kinsoku/>
        <w:wordWrap/>
        <w:overflowPunct/>
        <w:topLinePunct w:val="0"/>
        <w:autoSpaceDE/>
        <w:autoSpaceDN/>
        <w:bidi w:val="0"/>
        <w:adjustRightInd/>
        <w:snapToGrid w:val="0"/>
        <w:spacing w:line="360" w:lineRule="auto"/>
        <w:jc w:val="both"/>
        <w:textAlignment w:val="auto"/>
        <w:rPr>
          <w:rFonts w:hint="eastAsia" w:ascii="仿宋" w:hAnsi="仿宋" w:eastAsia="仿宋" w:cs="仿宋"/>
          <w:b/>
          <w:bCs/>
          <w:color w:val="auto"/>
          <w:kern w:val="2"/>
          <w:sz w:val="24"/>
          <w:szCs w:val="24"/>
          <w:u w:val="single"/>
          <w:lang w:val="en-US" w:eastAsia="zh-CN" w:bidi="ar-SA"/>
        </w:rPr>
      </w:pPr>
      <w:r>
        <w:rPr>
          <w:rFonts w:hint="eastAsia" w:ascii="仿宋" w:hAnsi="仿宋" w:eastAsia="仿宋" w:cs="仿宋"/>
          <w:b/>
          <w:bCs/>
          <w:color w:val="auto"/>
          <w:kern w:val="2"/>
          <w:sz w:val="24"/>
          <w:szCs w:val="24"/>
          <w:lang w:val="en-US" w:eastAsia="zh-CN" w:bidi="ar-SA"/>
        </w:rPr>
        <w:t>致：</w:t>
      </w:r>
      <w:r>
        <w:rPr>
          <w:rFonts w:hint="eastAsia" w:ascii="仿宋" w:hAnsi="仿宋" w:eastAsia="仿宋" w:cs="仿宋"/>
          <w:b/>
          <w:bCs/>
          <w:color w:val="auto"/>
          <w:kern w:val="2"/>
          <w:sz w:val="24"/>
          <w:szCs w:val="24"/>
          <w:u w:val="single"/>
          <w:lang w:val="en-US" w:eastAsia="zh-CN" w:bidi="ar-SA"/>
        </w:rPr>
        <w:t xml:space="preserve"> （采购人名称）和（采购代理机构名称）  </w:t>
      </w:r>
    </w:p>
    <w:p w14:paraId="6C9152E9">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我单位自愿参加</w:t>
      </w:r>
      <w:r>
        <w:rPr>
          <w:rFonts w:hint="eastAsia" w:ascii="仿宋" w:hAnsi="仿宋" w:eastAsia="仿宋" w:cs="仿宋"/>
          <w:b/>
          <w:bCs/>
          <w:color w:val="auto"/>
          <w:kern w:val="0"/>
          <w:sz w:val="24"/>
          <w:szCs w:val="24"/>
          <w:u w:val="single"/>
          <w:lang w:val="en-US" w:eastAsia="zh-CN"/>
        </w:rPr>
        <w:t xml:space="preserve">   （采购项目名称、项目编号）  </w:t>
      </w:r>
      <w:r>
        <w:rPr>
          <w:rFonts w:hint="eastAsia" w:ascii="仿宋" w:hAnsi="仿宋" w:eastAsia="仿宋" w:cs="仿宋"/>
          <w:color w:val="auto"/>
          <w:kern w:val="0"/>
          <w:sz w:val="24"/>
          <w:szCs w:val="24"/>
          <w:lang w:val="en-US" w:eastAsia="zh-CN"/>
        </w:rPr>
        <w:t>的磋商采购活动，作为参加本次采购活动的供应商，根据竞争性磋商文件的要求，现郑重承诺如下：</w:t>
      </w:r>
    </w:p>
    <w:p w14:paraId="09CB84C0">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一、我单位完全接受和满足本项目竞争性磋商文件中规定的实质性要求，不存在对竞争性磋商文件有异议的同时又参加本项目的磋商采购活动以求侥幸成为成交人或者为实现其他非法目的的行为。</w:t>
      </w:r>
    </w:p>
    <w:p w14:paraId="44FF1F3B">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二、我单位在此申明：保证本次竞争性磋商响应文件中提供的所有内容、资料、陈述是正确的、真实的、有效的、合法的，并愿意承担相关法律责任。</w:t>
      </w:r>
    </w:p>
    <w:p w14:paraId="37BC62FA">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三、我单位存在以下行为之一的，愿意接受相关部门的处理：</w:t>
      </w:r>
    </w:p>
    <w:p w14:paraId="2D391E42">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1.我单位在竞争性磋商文件规定的磋商响应有效期内撤回竞争性磋商响应文件的；</w:t>
      </w:r>
    </w:p>
    <w:p w14:paraId="49E8A0C1">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2.我单位在竞争性磋商响应文件中提供虚假材料的；</w:t>
      </w:r>
    </w:p>
    <w:p w14:paraId="14376C7E">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3.我单位与采购人、其他供应商或者采购代理机构恶意串通的；</w:t>
      </w:r>
    </w:p>
    <w:p w14:paraId="449CFC78">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4.我单位自行放弃磋商资格而未在磋商会议前一天以书面形式告知采购代理机构的；</w:t>
      </w:r>
    </w:p>
    <w:p w14:paraId="5A080DCF">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5.我单位自行放弃成交资格的；</w:t>
      </w:r>
    </w:p>
    <w:p w14:paraId="69113941">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6.我单位不在规定的时效内领取《成交通知书》的；</w:t>
      </w:r>
    </w:p>
    <w:p w14:paraId="5A561524">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7.我单位未按照竞争性磋商文件确定的事项签订政府采购合同的；</w:t>
      </w:r>
    </w:p>
    <w:p w14:paraId="41D070B2">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8.我单位在本项目政府采购活动中有违法、违规、违纪行为的。</w:t>
      </w:r>
    </w:p>
    <w:p w14:paraId="6C26597F">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我单位如果发生以上任意一条行为，将在行为发生的5个工作日内，向采购人或采购代理机构支付本竞争性磋商文件公布的预算金额的2%作为赔偿金。</w:t>
      </w:r>
    </w:p>
    <w:p w14:paraId="523D6C0C">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我单位知晓上述行为的法律后果，承认本承诺函作为采购人及采购代理机构要求我单位履行违约赔偿义务的依据作用。</w:t>
      </w:r>
    </w:p>
    <w:p w14:paraId="0B45F43A">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由此发生的一切法律后果和责任由我单位承担。我单位声明放弃对此提出任何异议和追索的权利。</w:t>
      </w:r>
    </w:p>
    <w:p w14:paraId="4DA0E30F">
      <w:pPr>
        <w:widowControl/>
        <w:adjustRightInd/>
        <w:snapToGrid/>
        <w:spacing w:after="0" w:line="480" w:lineRule="exact"/>
        <w:ind w:firstLine="480" w:firstLineChars="200"/>
        <w:jc w:val="both"/>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我单位对上述承诺的内容事项真实性负责。如经查实上述承诺的内容事项存在虚假，我单位愿意接受以提供虚假材料谋取成交而被追究法律责任。</w:t>
      </w:r>
    </w:p>
    <w:p w14:paraId="59CC96B6">
      <w:pPr>
        <w:bidi w:val="0"/>
        <w:rPr>
          <w:rFonts w:hint="eastAsia" w:ascii="仿宋" w:hAnsi="仿宋" w:eastAsia="仿宋" w:cs="仿宋"/>
          <w:sz w:val="24"/>
          <w:szCs w:val="24"/>
          <w:lang w:val="en-US" w:eastAsia="zh-CN"/>
        </w:rPr>
      </w:pPr>
    </w:p>
    <w:p w14:paraId="4F085FA7">
      <w:pPr>
        <w:bidi w:val="0"/>
        <w:rPr>
          <w:rFonts w:hint="eastAsia" w:ascii="仿宋" w:hAnsi="仿宋" w:eastAsia="仿宋" w:cs="仿宋"/>
          <w:sz w:val="24"/>
          <w:szCs w:val="24"/>
          <w:lang w:val="en-US" w:eastAsia="zh-CN"/>
        </w:rPr>
      </w:pPr>
    </w:p>
    <w:p w14:paraId="3D05B3CA">
      <w:pPr>
        <w:bidi w:val="0"/>
        <w:spacing w:line="360" w:lineRule="auto"/>
        <w:ind w:firstLine="4320" w:firstLineChars="18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单位名称（公章）：</w:t>
      </w:r>
    </w:p>
    <w:p w14:paraId="616E3A19">
      <w:pPr>
        <w:bidi w:val="0"/>
        <w:spacing w:line="360" w:lineRule="auto"/>
        <w:ind w:firstLine="2160" w:firstLineChars="9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法定代表人或被授权人（签字或盖章）： </w:t>
      </w:r>
    </w:p>
    <w:p w14:paraId="3E45A85B">
      <w:pPr>
        <w:bidi w:val="0"/>
        <w:spacing w:line="360" w:lineRule="auto"/>
        <w:ind w:firstLine="5520" w:firstLineChars="23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日  期：</w:t>
      </w:r>
    </w:p>
    <w:p w14:paraId="5230D3F6">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609D97C0">
      <w:pPr>
        <w:spacing w:line="600" w:lineRule="exact"/>
        <w:jc w:val="both"/>
        <w:rPr>
          <w:rFonts w:hint="eastAsia" w:ascii="仿宋" w:hAnsi="仿宋" w:eastAsia="仿宋" w:cs="仿宋"/>
          <w:b/>
          <w:color w:val="auto"/>
          <w:sz w:val="24"/>
          <w:szCs w:val="24"/>
        </w:rPr>
      </w:pPr>
      <w:r>
        <w:rPr>
          <w:rFonts w:hint="eastAsia" w:ascii="仿宋" w:hAnsi="仿宋" w:eastAsia="仿宋" w:cs="仿宋"/>
          <w:b/>
          <w:color w:val="auto"/>
          <w:sz w:val="24"/>
          <w:szCs w:val="24"/>
        </w:rPr>
        <w:t>《拒绝政府采购领域商业贿赂承诺书》（格式）</w:t>
      </w:r>
    </w:p>
    <w:p w14:paraId="167FA011">
      <w:pPr>
        <w:rPr>
          <w:rFonts w:hint="eastAsia" w:ascii="仿宋" w:hAnsi="仿宋" w:eastAsia="仿宋" w:cs="仿宋"/>
          <w:sz w:val="24"/>
          <w:szCs w:val="24"/>
        </w:rPr>
      </w:pPr>
    </w:p>
    <w:p w14:paraId="6C714F2F">
      <w:pPr>
        <w:widowControl/>
        <w:adjustRightInd/>
        <w:snapToGrid/>
        <w:spacing w:after="0" w:line="440" w:lineRule="exact"/>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rPr>
        <w:t>陕西省政府采购供应商</w:t>
      </w:r>
    </w:p>
    <w:p w14:paraId="748AD58B">
      <w:pPr>
        <w:widowControl/>
        <w:adjustRightInd/>
        <w:snapToGrid/>
        <w:spacing w:after="0" w:line="440" w:lineRule="exact"/>
        <w:jc w:val="center"/>
        <w:rPr>
          <w:rFonts w:hint="eastAsia" w:ascii="仿宋" w:hAnsi="仿宋" w:eastAsia="仿宋" w:cs="仿宋"/>
          <w:b w:val="0"/>
          <w:bCs w:val="0"/>
          <w:color w:val="auto"/>
          <w:kern w:val="0"/>
          <w:sz w:val="24"/>
          <w:szCs w:val="24"/>
        </w:rPr>
      </w:pPr>
      <w:r>
        <w:rPr>
          <w:rFonts w:hint="eastAsia" w:ascii="仿宋" w:hAnsi="仿宋" w:eastAsia="仿宋" w:cs="仿宋"/>
          <w:b/>
          <w:bCs/>
          <w:color w:val="auto"/>
          <w:kern w:val="0"/>
          <w:sz w:val="28"/>
          <w:szCs w:val="28"/>
        </w:rPr>
        <w:t>拒绝政府采购领域商业贿赂承诺书</w:t>
      </w:r>
    </w:p>
    <w:p w14:paraId="2F3B18CC">
      <w:pPr>
        <w:widowControl/>
        <w:adjustRightInd/>
        <w:snapToGrid/>
        <w:spacing w:after="0" w:line="480" w:lineRule="exact"/>
        <w:ind w:firstLine="480" w:firstLineChars="200"/>
        <w:jc w:val="left"/>
        <w:rPr>
          <w:rFonts w:hint="eastAsia" w:ascii="仿宋" w:hAnsi="仿宋" w:eastAsia="仿宋" w:cs="仿宋"/>
          <w:color w:val="auto"/>
          <w:kern w:val="0"/>
          <w:sz w:val="24"/>
          <w:szCs w:val="24"/>
        </w:rPr>
      </w:pPr>
    </w:p>
    <w:p w14:paraId="55A33A90">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 xml:space="preserve">为响应党中央、国务院关于治理政府采购领域商业贿赂行为的号召，我单位在此庄严承诺： </w:t>
      </w:r>
    </w:p>
    <w:p w14:paraId="288029BE">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1</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在参与政府采购活动中遵纪守法、诚信经营、公平竞标。 </w:t>
      </w:r>
    </w:p>
    <w:p w14:paraId="677DE140">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2</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不向采购人、采购代理机构和政府采购评审专家进行任何形式的商业贿赂以谋取交易机会。 </w:t>
      </w:r>
    </w:p>
    <w:p w14:paraId="67F5300D">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3</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不向政府采购代理机构和采购人提供虚假资质文件或采用虚假应标方式参与政府采购市场竞争并谋取成交。 </w:t>
      </w:r>
    </w:p>
    <w:p w14:paraId="56F36EEA">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4</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不采取“围标、陪标”等商业欺诈手段获得政府采购定单。 </w:t>
      </w:r>
    </w:p>
    <w:p w14:paraId="7767167B">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5</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不采取不正当手段</w:t>
      </w:r>
      <w:r>
        <w:rPr>
          <w:rFonts w:hint="eastAsia" w:ascii="仿宋" w:hAnsi="仿宋" w:eastAsia="仿宋" w:cs="仿宋"/>
          <w:color w:val="auto"/>
          <w:kern w:val="0"/>
          <w:sz w:val="24"/>
          <w:szCs w:val="24"/>
          <w:lang w:eastAsia="zh-CN"/>
        </w:rPr>
        <w:t>诋毁</w:t>
      </w:r>
      <w:r>
        <w:rPr>
          <w:rFonts w:hint="eastAsia" w:ascii="仿宋" w:hAnsi="仿宋" w:eastAsia="仿宋" w:cs="仿宋"/>
          <w:color w:val="auto"/>
          <w:kern w:val="0"/>
          <w:sz w:val="24"/>
          <w:szCs w:val="24"/>
        </w:rPr>
        <w:t xml:space="preserve">、排挤其他供应商。 </w:t>
      </w:r>
    </w:p>
    <w:p w14:paraId="41626FAC">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6</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不在提供商品和服务时“偷梁换柱、以次充好”损害采购人的合法权益。 </w:t>
      </w:r>
    </w:p>
    <w:p w14:paraId="08FE256E">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7</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不与采购人、采购代理机构政府采购评审专家或其它供应商恶意串通，进行质疑和投诉，维护政府采购市场秩序。 </w:t>
      </w:r>
    </w:p>
    <w:p w14:paraId="482DBD99">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8</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尊重和接受政府采购监督管理部门的监督和政府采购代理机构采购要求，承担因违约行为给采购人造成的损失。 </w:t>
      </w:r>
    </w:p>
    <w:p w14:paraId="27835AF8">
      <w:pPr>
        <w:widowControl/>
        <w:adjustRightInd/>
        <w:snapToGrid/>
        <w:spacing w:after="0" w:line="480" w:lineRule="exact"/>
        <w:ind w:firstLine="480" w:firstLineChars="200"/>
        <w:jc w:val="both"/>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9</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不发生其他有悖于政府采购公开、公平、公正和诚信原则的行为。 </w:t>
      </w:r>
    </w:p>
    <w:p w14:paraId="410B85CD">
      <w:pPr>
        <w:widowControl w:val="0"/>
        <w:jc w:val="both"/>
        <w:rPr>
          <w:rFonts w:hint="eastAsia" w:ascii="仿宋" w:hAnsi="仿宋" w:eastAsia="仿宋" w:cs="仿宋"/>
          <w:color w:val="auto"/>
          <w:kern w:val="2"/>
          <w:sz w:val="21"/>
          <w:szCs w:val="24"/>
          <w:lang w:val="en-US" w:eastAsia="zh-CN" w:bidi="ar-SA"/>
        </w:rPr>
      </w:pPr>
    </w:p>
    <w:p w14:paraId="28809716">
      <w:pPr>
        <w:widowControl/>
        <w:adjustRightInd/>
        <w:snapToGrid/>
        <w:spacing w:after="0" w:line="480" w:lineRule="exact"/>
        <w:jc w:val="left"/>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承诺单位：</w:t>
      </w:r>
      <w:r>
        <w:rPr>
          <w:rFonts w:hint="eastAsia" w:ascii="仿宋" w:hAnsi="仿宋" w:eastAsia="仿宋" w:cs="仿宋"/>
          <w:color w:val="auto"/>
          <w:kern w:val="0"/>
          <w:sz w:val="24"/>
          <w:szCs w:val="24"/>
          <w:u w:val="single"/>
        </w:rPr>
        <w:t>　　                 　</w:t>
      </w:r>
      <w:r>
        <w:rPr>
          <w:rFonts w:hint="eastAsia" w:ascii="仿宋" w:hAnsi="仿宋" w:eastAsia="仿宋" w:cs="仿宋"/>
          <w:color w:val="auto"/>
          <w:kern w:val="0"/>
          <w:sz w:val="24"/>
          <w:szCs w:val="24"/>
        </w:rPr>
        <w:t>（盖章）</w:t>
      </w:r>
    </w:p>
    <w:p w14:paraId="073BFF7C">
      <w:pPr>
        <w:widowControl/>
        <w:adjustRightInd/>
        <w:snapToGrid/>
        <w:spacing w:after="0" w:line="480" w:lineRule="exact"/>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全权代表：</w:t>
      </w:r>
      <w:r>
        <w:rPr>
          <w:rFonts w:hint="eastAsia" w:ascii="仿宋" w:hAnsi="仿宋" w:eastAsia="仿宋" w:cs="仿宋"/>
          <w:color w:val="auto"/>
          <w:kern w:val="0"/>
          <w:sz w:val="24"/>
          <w:szCs w:val="24"/>
          <w:u w:val="single"/>
        </w:rPr>
        <w:t>　　　　　     　　　　</w:t>
      </w:r>
      <w:r>
        <w:rPr>
          <w:rFonts w:hint="eastAsia" w:ascii="仿宋" w:hAnsi="仿宋" w:eastAsia="仿宋" w:cs="仿宋"/>
          <w:color w:val="auto"/>
          <w:kern w:val="0"/>
          <w:sz w:val="24"/>
          <w:szCs w:val="24"/>
        </w:rPr>
        <w:t>（签字</w:t>
      </w:r>
      <w:r>
        <w:rPr>
          <w:rFonts w:hint="eastAsia" w:ascii="仿宋" w:hAnsi="仿宋" w:eastAsia="仿宋" w:cs="仿宋"/>
          <w:color w:val="auto"/>
          <w:kern w:val="0"/>
          <w:sz w:val="24"/>
          <w:szCs w:val="24"/>
          <w:lang w:eastAsia="zh-CN"/>
        </w:rPr>
        <w:t>或盖章</w:t>
      </w:r>
      <w:r>
        <w:rPr>
          <w:rFonts w:hint="eastAsia" w:ascii="仿宋" w:hAnsi="仿宋" w:eastAsia="仿宋" w:cs="仿宋"/>
          <w:color w:val="auto"/>
          <w:kern w:val="0"/>
          <w:sz w:val="24"/>
          <w:szCs w:val="24"/>
        </w:rPr>
        <w:t>）</w:t>
      </w:r>
    </w:p>
    <w:p w14:paraId="180251B5">
      <w:pPr>
        <w:widowControl/>
        <w:adjustRightInd/>
        <w:snapToGrid/>
        <w:spacing w:after="0" w:line="480" w:lineRule="exact"/>
        <w:jc w:val="left"/>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rPr>
        <w:t>地　　址：</w:t>
      </w:r>
      <w:r>
        <w:rPr>
          <w:rFonts w:hint="eastAsia" w:ascii="仿宋" w:hAnsi="仿宋" w:eastAsia="仿宋" w:cs="仿宋"/>
          <w:color w:val="auto"/>
          <w:kern w:val="0"/>
          <w:sz w:val="24"/>
          <w:szCs w:val="24"/>
          <w:u w:val="single"/>
        </w:rPr>
        <w:t xml:space="preserve">                              </w:t>
      </w:r>
    </w:p>
    <w:p w14:paraId="1563C472">
      <w:pPr>
        <w:widowControl/>
        <w:adjustRightInd/>
        <w:snapToGrid/>
        <w:spacing w:after="0" w:line="480" w:lineRule="exact"/>
        <w:jc w:val="left"/>
        <w:rPr>
          <w:rFonts w:hint="eastAsia" w:ascii="仿宋" w:hAnsi="仿宋" w:eastAsia="仿宋" w:cs="仿宋"/>
          <w:color w:val="auto"/>
          <w:kern w:val="0"/>
          <w:sz w:val="24"/>
          <w:szCs w:val="24"/>
          <w:u w:val="single"/>
          <w:lang w:eastAsia="zh-CN"/>
        </w:rPr>
      </w:pPr>
      <w:r>
        <w:rPr>
          <w:rFonts w:hint="eastAsia" w:ascii="仿宋" w:hAnsi="仿宋" w:eastAsia="仿宋" w:cs="仿宋"/>
          <w:color w:val="auto"/>
          <w:kern w:val="0"/>
          <w:sz w:val="24"/>
          <w:szCs w:val="24"/>
        </w:rPr>
        <w:t>邮    编：</w:t>
      </w:r>
      <w:r>
        <w:rPr>
          <w:rFonts w:hint="eastAsia" w:ascii="仿宋" w:hAnsi="仿宋" w:eastAsia="仿宋" w:cs="仿宋"/>
          <w:color w:val="auto"/>
          <w:kern w:val="0"/>
          <w:sz w:val="24"/>
          <w:szCs w:val="24"/>
          <w:u w:val="single"/>
        </w:rPr>
        <w:t xml:space="preserve">　　                     　　 </w:t>
      </w:r>
    </w:p>
    <w:p w14:paraId="62813898">
      <w:pPr>
        <w:rPr>
          <w:rFonts w:hint="eastAsia" w:ascii="仿宋" w:hAnsi="仿宋" w:eastAsia="仿宋" w:cs="仿宋"/>
          <w:color w:val="auto"/>
          <w:kern w:val="0"/>
          <w:sz w:val="24"/>
          <w:szCs w:val="24"/>
        </w:rPr>
      </w:pPr>
    </w:p>
    <w:p w14:paraId="7386834F">
      <w:pPr>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rPr>
        <w:t>电　　话：</w:t>
      </w:r>
      <w:r>
        <w:rPr>
          <w:rFonts w:hint="eastAsia" w:ascii="仿宋" w:hAnsi="仿宋" w:eastAsia="仿宋" w:cs="仿宋"/>
          <w:color w:val="auto"/>
          <w:kern w:val="0"/>
          <w:sz w:val="24"/>
          <w:szCs w:val="24"/>
          <w:u w:val="single"/>
        </w:rPr>
        <w:t>　　　                　　　　</w:t>
      </w:r>
    </w:p>
    <w:p w14:paraId="70B07C27">
      <w:pPr>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u w:val="single"/>
        </w:rPr>
        <w:br w:type="page"/>
      </w:r>
    </w:p>
    <w:p w14:paraId="2BCB2A23">
      <w:pPr>
        <w:rPr>
          <w:rFonts w:hint="eastAsia" w:ascii="仿宋" w:hAnsi="仿宋" w:eastAsia="仿宋" w:cs="仿宋"/>
          <w:sz w:val="24"/>
          <w:szCs w:val="24"/>
          <w:lang w:val="en-US" w:eastAsia="zh-CN"/>
        </w:rPr>
      </w:pPr>
      <w:r>
        <w:rPr>
          <w:rFonts w:hint="eastAsia" w:ascii="仿宋" w:hAnsi="仿宋" w:eastAsia="仿宋" w:cs="仿宋"/>
          <w:b/>
          <w:sz w:val="24"/>
          <w:highlight w:val="none"/>
        </w:rPr>
        <w:t>供应商认为有必要说明的事宜（若有）</w:t>
      </w:r>
    </w:p>
    <w:p w14:paraId="472E2F56">
      <w:pPr>
        <w:wordWrap/>
        <w:spacing w:before="78" w:line="222" w:lineRule="auto"/>
        <w:jc w:val="left"/>
        <w:rPr>
          <w:rFonts w:hint="eastAsia" w:ascii="仿宋" w:hAnsi="仿宋" w:eastAsia="仿宋" w:cs="仿宋"/>
          <w:color w:val="auto"/>
        </w:rPr>
      </w:pPr>
    </w:p>
    <w:p w14:paraId="574D98DC">
      <w:pPr>
        <w:rPr>
          <w:rFonts w:hint="eastAsia" w:ascii="仿宋" w:hAnsi="仿宋" w:eastAsia="仿宋" w:cs="仿宋"/>
          <w:b/>
          <w:sz w:val="36"/>
        </w:rPr>
      </w:pPr>
      <w:r>
        <w:rPr>
          <w:rFonts w:hint="eastAsia" w:ascii="仿宋" w:hAnsi="仿宋" w:eastAsia="仿宋" w:cs="仿宋"/>
          <w:b/>
          <w:sz w:val="36"/>
        </w:rPr>
        <w:br w:type="page"/>
      </w:r>
    </w:p>
    <w:p w14:paraId="590C153E">
      <w:pPr>
        <w:pStyle w:val="13"/>
        <w:jc w:val="center"/>
        <w:outlineLvl w:val="1"/>
        <w:rPr>
          <w:rFonts w:hint="eastAsia" w:ascii="仿宋" w:hAnsi="仿宋" w:eastAsia="仿宋" w:cs="仿宋"/>
        </w:rPr>
      </w:pPr>
      <w:bookmarkStart w:id="75" w:name="_Toc30149"/>
      <w:r>
        <w:rPr>
          <w:rFonts w:hint="eastAsia" w:ascii="仿宋" w:hAnsi="仿宋" w:eastAsia="仿宋" w:cs="仿宋"/>
          <w:b/>
          <w:sz w:val="36"/>
        </w:rPr>
        <w:t>第八章 拟签订采购合同文本</w:t>
      </w:r>
      <w:bookmarkEnd w:id="75"/>
    </w:p>
    <w:p w14:paraId="33C2A188">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（注：本合同仅为合同的参考文本，合同签订双方可根据项目的具体要求进行修订。）</w:t>
      </w:r>
    </w:p>
    <w:p w14:paraId="44C474CE">
      <w:pPr>
        <w:spacing w:line="240" w:lineRule="auto"/>
        <w:ind w:left="0"/>
        <w:jc w:val="center"/>
        <w:rPr>
          <w:rFonts w:hint="eastAsia" w:ascii="仿宋" w:hAnsi="仿宋" w:eastAsia="仿宋" w:cs="仿宋"/>
          <w:b/>
          <w:bCs/>
          <w:spacing w:val="11"/>
          <w:sz w:val="30"/>
          <w:szCs w:val="30"/>
          <w:highlight w:val="none"/>
          <w:u w:val="none" w:color="auto"/>
        </w:rPr>
      </w:pPr>
    </w:p>
    <w:p w14:paraId="5C3B9B96">
      <w:pPr>
        <w:pStyle w:val="2"/>
        <w:spacing w:line="309" w:lineRule="auto"/>
        <w:rPr>
          <w:rFonts w:hint="eastAsia" w:ascii="仿宋" w:hAnsi="仿宋" w:eastAsia="仿宋" w:cs="仿宋"/>
          <w:highlight w:val="none"/>
        </w:rPr>
      </w:pPr>
    </w:p>
    <w:p w14:paraId="598D418A">
      <w:pPr>
        <w:pStyle w:val="2"/>
        <w:spacing w:line="263" w:lineRule="auto"/>
        <w:rPr>
          <w:rFonts w:hint="eastAsia" w:ascii="仿宋" w:hAnsi="仿宋" w:eastAsia="仿宋" w:cs="仿宋"/>
          <w:highlight w:val="none"/>
        </w:rPr>
      </w:pPr>
    </w:p>
    <w:p w14:paraId="288ACFE8">
      <w:pPr>
        <w:pStyle w:val="2"/>
        <w:spacing w:line="263" w:lineRule="auto"/>
        <w:rPr>
          <w:rFonts w:hint="eastAsia" w:ascii="仿宋" w:hAnsi="仿宋" w:eastAsia="仿宋" w:cs="仿宋"/>
          <w:highlight w:val="none"/>
        </w:rPr>
      </w:pPr>
    </w:p>
    <w:p w14:paraId="68B5C9F6">
      <w:pPr>
        <w:pStyle w:val="2"/>
        <w:spacing w:line="264" w:lineRule="auto"/>
        <w:rPr>
          <w:rFonts w:hint="eastAsia" w:ascii="仿宋" w:hAnsi="仿宋" w:eastAsia="仿宋" w:cs="仿宋"/>
          <w:highlight w:val="none"/>
        </w:rPr>
      </w:pPr>
    </w:p>
    <w:p w14:paraId="390FFAC4">
      <w:pPr>
        <w:pStyle w:val="2"/>
        <w:spacing w:line="243" w:lineRule="auto"/>
        <w:jc w:val="both"/>
        <w:rPr>
          <w:rFonts w:hint="eastAsia" w:ascii="仿宋" w:hAnsi="仿宋" w:eastAsia="仿宋" w:cs="仿宋"/>
          <w:highlight w:val="none"/>
        </w:rPr>
      </w:pPr>
    </w:p>
    <w:p w14:paraId="4FEE16FC">
      <w:pPr>
        <w:pStyle w:val="2"/>
        <w:spacing w:line="243" w:lineRule="auto"/>
        <w:jc w:val="center"/>
        <w:rPr>
          <w:rFonts w:hint="eastAsia" w:ascii="仿宋" w:hAnsi="仿宋" w:eastAsia="仿宋" w:cs="仿宋"/>
          <w:b/>
          <w:bCs/>
          <w:sz w:val="44"/>
          <w:szCs w:val="40"/>
          <w:highlight w:val="none"/>
          <w:lang w:val="en-US" w:eastAsia="zh-CN"/>
        </w:rPr>
      </w:pPr>
    </w:p>
    <w:p w14:paraId="5782F1BB">
      <w:pPr>
        <w:pStyle w:val="2"/>
        <w:spacing w:line="243" w:lineRule="auto"/>
        <w:jc w:val="center"/>
        <w:rPr>
          <w:rFonts w:hint="eastAsia" w:ascii="仿宋" w:hAnsi="仿宋" w:eastAsia="仿宋" w:cs="仿宋"/>
          <w:b/>
          <w:bCs/>
          <w:sz w:val="44"/>
          <w:szCs w:val="40"/>
          <w:highlight w:val="none"/>
          <w:lang w:val="en-US" w:eastAsia="zh-CN"/>
        </w:rPr>
      </w:pPr>
    </w:p>
    <w:p w14:paraId="13C6183B">
      <w:pPr>
        <w:pStyle w:val="2"/>
        <w:spacing w:line="243" w:lineRule="auto"/>
        <w:jc w:val="center"/>
        <w:rPr>
          <w:rFonts w:hint="eastAsia" w:ascii="仿宋" w:hAnsi="仿宋" w:eastAsia="仿宋" w:cs="仿宋"/>
          <w:b/>
          <w:bCs/>
          <w:sz w:val="44"/>
          <w:szCs w:val="44"/>
          <w:highlight w:val="none"/>
          <w:lang w:val="en-US"/>
        </w:rPr>
      </w:pPr>
      <w:r>
        <w:rPr>
          <w:rFonts w:hint="eastAsia" w:ascii="仿宋" w:hAnsi="仿宋" w:eastAsia="仿宋" w:cs="仿宋"/>
          <w:b/>
          <w:bCs/>
          <w:sz w:val="44"/>
          <w:szCs w:val="44"/>
          <w:highlight w:val="none"/>
          <w:lang w:val="en-US" w:eastAsia="zh-CN"/>
        </w:rPr>
        <w:t>2026年全市中小企业主要负责人和安全管理人员培训项目（二次）</w:t>
      </w:r>
      <w:bookmarkStart w:id="80" w:name="_GoBack"/>
      <w:bookmarkEnd w:id="80"/>
    </w:p>
    <w:p w14:paraId="5DE0D9B1">
      <w:pPr>
        <w:pStyle w:val="2"/>
        <w:spacing w:line="243" w:lineRule="auto"/>
        <w:rPr>
          <w:rFonts w:hint="eastAsia" w:ascii="仿宋" w:hAnsi="仿宋" w:eastAsia="仿宋" w:cs="仿宋"/>
          <w:highlight w:val="none"/>
        </w:rPr>
      </w:pPr>
    </w:p>
    <w:p w14:paraId="38756B02">
      <w:pPr>
        <w:pStyle w:val="2"/>
        <w:spacing w:line="243" w:lineRule="auto"/>
        <w:rPr>
          <w:rFonts w:hint="eastAsia" w:ascii="仿宋" w:hAnsi="仿宋" w:eastAsia="仿宋" w:cs="仿宋"/>
          <w:highlight w:val="none"/>
        </w:rPr>
      </w:pPr>
    </w:p>
    <w:p w14:paraId="398CB83C">
      <w:pPr>
        <w:pStyle w:val="2"/>
        <w:spacing w:line="243" w:lineRule="auto"/>
        <w:rPr>
          <w:rFonts w:hint="eastAsia" w:ascii="仿宋" w:hAnsi="仿宋" w:eastAsia="仿宋" w:cs="仿宋"/>
          <w:highlight w:val="none"/>
        </w:rPr>
      </w:pPr>
    </w:p>
    <w:p w14:paraId="33DCE191">
      <w:pPr>
        <w:pStyle w:val="2"/>
        <w:spacing w:line="243" w:lineRule="auto"/>
        <w:jc w:val="center"/>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t>采购合同</w:t>
      </w:r>
    </w:p>
    <w:p w14:paraId="76768472">
      <w:pPr>
        <w:pStyle w:val="2"/>
        <w:spacing w:line="243" w:lineRule="auto"/>
        <w:rPr>
          <w:rFonts w:hint="eastAsia" w:ascii="仿宋" w:hAnsi="仿宋" w:eastAsia="仿宋" w:cs="仿宋"/>
          <w:highlight w:val="none"/>
        </w:rPr>
      </w:pPr>
    </w:p>
    <w:p w14:paraId="0EACE39C">
      <w:pPr>
        <w:pStyle w:val="2"/>
        <w:spacing w:line="243" w:lineRule="auto"/>
        <w:rPr>
          <w:rFonts w:hint="eastAsia" w:ascii="仿宋" w:hAnsi="仿宋" w:eastAsia="仿宋" w:cs="仿宋"/>
          <w:highlight w:val="none"/>
        </w:rPr>
      </w:pPr>
    </w:p>
    <w:p w14:paraId="304F570C">
      <w:pPr>
        <w:pStyle w:val="2"/>
        <w:spacing w:line="243" w:lineRule="auto"/>
        <w:rPr>
          <w:rFonts w:hint="eastAsia" w:ascii="仿宋" w:hAnsi="仿宋" w:eastAsia="仿宋" w:cs="仿宋"/>
          <w:highlight w:val="none"/>
        </w:rPr>
      </w:pPr>
    </w:p>
    <w:p w14:paraId="78F6E7DE">
      <w:pPr>
        <w:pStyle w:val="2"/>
        <w:spacing w:line="243" w:lineRule="auto"/>
        <w:rPr>
          <w:rFonts w:hint="eastAsia" w:ascii="仿宋" w:hAnsi="仿宋" w:eastAsia="仿宋" w:cs="仿宋"/>
          <w:highlight w:val="none"/>
        </w:rPr>
      </w:pPr>
    </w:p>
    <w:p w14:paraId="08566C69">
      <w:pPr>
        <w:pStyle w:val="2"/>
        <w:spacing w:line="244" w:lineRule="auto"/>
        <w:rPr>
          <w:rFonts w:hint="eastAsia" w:ascii="仿宋" w:hAnsi="仿宋" w:eastAsia="仿宋" w:cs="仿宋"/>
          <w:highlight w:val="none"/>
        </w:rPr>
      </w:pPr>
    </w:p>
    <w:p w14:paraId="1DF81B10">
      <w:pPr>
        <w:pStyle w:val="2"/>
        <w:spacing w:line="244" w:lineRule="auto"/>
        <w:rPr>
          <w:rFonts w:hint="eastAsia" w:ascii="仿宋" w:hAnsi="仿宋" w:eastAsia="仿宋" w:cs="仿宋"/>
          <w:highlight w:val="none"/>
        </w:rPr>
      </w:pPr>
    </w:p>
    <w:p w14:paraId="1DAFEFED">
      <w:pPr>
        <w:pStyle w:val="2"/>
        <w:spacing w:line="244" w:lineRule="auto"/>
        <w:rPr>
          <w:rFonts w:hint="eastAsia" w:ascii="仿宋" w:hAnsi="仿宋" w:eastAsia="仿宋" w:cs="仿宋"/>
          <w:highlight w:val="none"/>
        </w:rPr>
      </w:pPr>
    </w:p>
    <w:p w14:paraId="5B3922FF">
      <w:pPr>
        <w:pStyle w:val="2"/>
        <w:spacing w:line="244" w:lineRule="auto"/>
        <w:rPr>
          <w:rFonts w:hint="eastAsia" w:ascii="仿宋" w:hAnsi="仿宋" w:eastAsia="仿宋" w:cs="仿宋"/>
          <w:highlight w:val="none"/>
        </w:rPr>
      </w:pPr>
    </w:p>
    <w:p w14:paraId="3FE89652">
      <w:pPr>
        <w:pStyle w:val="2"/>
        <w:spacing w:line="244" w:lineRule="auto"/>
        <w:rPr>
          <w:rFonts w:hint="eastAsia" w:ascii="仿宋" w:hAnsi="仿宋" w:eastAsia="仿宋" w:cs="仿宋"/>
          <w:sz w:val="32"/>
          <w:szCs w:val="32"/>
          <w:highlight w:val="none"/>
        </w:rPr>
      </w:pPr>
    </w:p>
    <w:p w14:paraId="0FAC7282">
      <w:pPr>
        <w:keepNext w:val="0"/>
        <w:keepLines w:val="0"/>
        <w:pageBreakBefore w:val="0"/>
        <w:widowControl/>
        <w:kinsoku w:val="0"/>
        <w:wordWrap/>
        <w:overflowPunct/>
        <w:topLinePunct w:val="0"/>
        <w:autoSpaceDE w:val="0"/>
        <w:autoSpaceDN w:val="0"/>
        <w:bidi w:val="0"/>
        <w:adjustRightInd w:val="0"/>
        <w:snapToGrid w:val="0"/>
        <w:spacing w:before="81" w:line="360" w:lineRule="auto"/>
        <w:ind w:firstLine="2040" w:firstLineChars="500"/>
        <w:jc w:val="both"/>
        <w:textAlignment w:val="baseline"/>
        <w:rPr>
          <w:rFonts w:hint="eastAsia" w:ascii="仿宋" w:hAnsi="仿宋" w:eastAsia="仿宋" w:cs="仿宋"/>
          <w:sz w:val="32"/>
          <w:szCs w:val="32"/>
          <w:highlight w:val="none"/>
          <w:u w:val="single"/>
          <w:lang w:val="en-US" w:eastAsia="zh-CN"/>
        </w:rPr>
      </w:pPr>
      <w:r>
        <w:rPr>
          <w:rFonts w:hint="eastAsia" w:ascii="仿宋" w:hAnsi="仿宋" w:eastAsia="仿宋" w:cs="仿宋"/>
          <w:spacing w:val="44"/>
          <w:sz w:val="32"/>
          <w:szCs w:val="32"/>
          <w:highlight w:val="none"/>
          <w:lang w:val="en-US" w:eastAsia="zh-CN"/>
        </w:rPr>
        <w:t>甲方</w:t>
      </w:r>
      <w:r>
        <w:rPr>
          <w:rFonts w:hint="eastAsia" w:ascii="仿宋" w:hAnsi="仿宋" w:eastAsia="仿宋" w:cs="仿宋"/>
          <w:spacing w:val="44"/>
          <w:sz w:val="32"/>
          <w:szCs w:val="32"/>
          <w:highlight w:val="none"/>
        </w:rPr>
        <w:t>(全称):</w:t>
      </w:r>
      <w:r>
        <w:rPr>
          <w:rFonts w:hint="eastAsia" w:ascii="仿宋" w:hAnsi="仿宋" w:eastAsia="仿宋" w:cs="仿宋"/>
          <w:sz w:val="32"/>
          <w:szCs w:val="32"/>
          <w:highlight w:val="none"/>
          <w:u w:val="single"/>
          <w:lang w:val="en-US" w:eastAsia="zh-CN"/>
        </w:rPr>
        <w:t xml:space="preserve">                 </w:t>
      </w:r>
    </w:p>
    <w:p w14:paraId="33BE4508">
      <w:pPr>
        <w:keepNext w:val="0"/>
        <w:keepLines w:val="0"/>
        <w:pageBreakBefore w:val="0"/>
        <w:widowControl/>
        <w:kinsoku w:val="0"/>
        <w:wordWrap/>
        <w:overflowPunct/>
        <w:topLinePunct w:val="0"/>
        <w:autoSpaceDE w:val="0"/>
        <w:autoSpaceDN w:val="0"/>
        <w:bidi w:val="0"/>
        <w:adjustRightInd w:val="0"/>
        <w:snapToGrid w:val="0"/>
        <w:spacing w:before="81" w:line="360" w:lineRule="auto"/>
        <w:ind w:firstLine="2030" w:firstLineChars="500"/>
        <w:jc w:val="both"/>
        <w:textAlignment w:val="baseline"/>
        <w:rPr>
          <w:rFonts w:hint="eastAsia" w:ascii="仿宋" w:hAnsi="仿宋" w:eastAsia="仿宋" w:cs="仿宋"/>
          <w:sz w:val="32"/>
          <w:szCs w:val="32"/>
          <w:highlight w:val="none"/>
          <w:u w:val="single"/>
          <w:lang w:val="en-US" w:eastAsia="zh-CN"/>
        </w:rPr>
      </w:pPr>
      <w:r>
        <w:rPr>
          <w:rFonts w:hint="eastAsia" w:ascii="仿宋" w:hAnsi="仿宋" w:eastAsia="仿宋" w:cs="仿宋"/>
          <w:spacing w:val="43"/>
          <w:sz w:val="32"/>
          <w:szCs w:val="32"/>
          <w:highlight w:val="none"/>
          <w:lang w:val="en-US" w:eastAsia="zh-CN"/>
        </w:rPr>
        <w:t>乙方</w:t>
      </w:r>
      <w:r>
        <w:rPr>
          <w:rFonts w:hint="eastAsia" w:ascii="仿宋" w:hAnsi="仿宋" w:eastAsia="仿宋" w:cs="仿宋"/>
          <w:spacing w:val="43"/>
          <w:sz w:val="32"/>
          <w:szCs w:val="32"/>
          <w:highlight w:val="none"/>
        </w:rPr>
        <w:t>(全称):</w:t>
      </w:r>
      <w:r>
        <w:rPr>
          <w:rFonts w:hint="eastAsia" w:ascii="仿宋" w:hAnsi="仿宋" w:eastAsia="仿宋" w:cs="仿宋"/>
          <w:spacing w:val="43"/>
          <w:sz w:val="32"/>
          <w:szCs w:val="32"/>
          <w:highlight w:val="none"/>
          <w:u w:val="single"/>
          <w:lang w:val="en-US" w:eastAsia="zh-CN"/>
        </w:rPr>
        <w:t xml:space="preserve">           </w:t>
      </w:r>
    </w:p>
    <w:p w14:paraId="388C9C40">
      <w:pPr>
        <w:rPr>
          <w:rFonts w:hint="eastAsia" w:ascii="仿宋" w:hAnsi="仿宋" w:eastAsia="仿宋" w:cs="仿宋"/>
          <w:b/>
          <w:sz w:val="36"/>
        </w:rPr>
      </w:pPr>
      <w:r>
        <w:rPr>
          <w:rFonts w:hint="eastAsia" w:ascii="仿宋" w:hAnsi="仿宋" w:eastAsia="仿宋" w:cs="仿宋"/>
          <w:b/>
          <w:sz w:val="36"/>
        </w:rPr>
        <w:br w:type="page"/>
      </w:r>
    </w:p>
    <w:p w14:paraId="3C038999">
      <w:pPr>
        <w:keepNext w:val="0"/>
        <w:keepLines w:val="0"/>
        <w:pageBreakBefore w:val="0"/>
        <w:kinsoku/>
        <w:wordWrap/>
        <w:overflowPunct/>
        <w:topLinePunct w:val="0"/>
        <w:autoSpaceDE/>
        <w:autoSpaceDN/>
        <w:bidi w:val="0"/>
        <w:spacing w:line="440" w:lineRule="exact"/>
        <w:textAlignment w:val="auto"/>
        <w:rPr>
          <w:rFonts w:hint="eastAsia" w:ascii="仿宋" w:hAnsi="仿宋" w:eastAsia="仿宋" w:cs="仿宋"/>
          <w:sz w:val="24"/>
        </w:rPr>
      </w:pPr>
      <w:r>
        <w:rPr>
          <w:rFonts w:hint="eastAsia" w:ascii="仿宋" w:hAnsi="仿宋" w:eastAsia="仿宋" w:cs="仿宋"/>
          <w:sz w:val="24"/>
        </w:rPr>
        <w:t>一、合同格式</w:t>
      </w:r>
    </w:p>
    <w:p w14:paraId="7F94FA4F">
      <w:pPr>
        <w:keepNext w:val="0"/>
        <w:keepLines w:val="0"/>
        <w:pageBreakBefore w:val="0"/>
        <w:widowControl/>
        <w:kinsoku/>
        <w:wordWrap/>
        <w:overflowPunct/>
        <w:topLinePunct w:val="0"/>
        <w:autoSpaceDE/>
        <w:autoSpaceDN/>
        <w:bidi w:val="0"/>
        <w:spacing w:line="440" w:lineRule="exact"/>
        <w:ind w:right="57" w:rightChars="27" w:firstLine="480" w:firstLineChars="200"/>
        <w:textAlignment w:val="auto"/>
        <w:rPr>
          <w:rFonts w:hint="eastAsia" w:ascii="仿宋" w:hAnsi="仿宋" w:eastAsia="仿宋" w:cs="仿宋"/>
          <w:kern w:val="0"/>
          <w:sz w:val="24"/>
        </w:rPr>
      </w:pPr>
      <w:r>
        <w:rPr>
          <w:rFonts w:hint="eastAsia" w:ascii="仿宋" w:hAnsi="仿宋" w:eastAsia="仿宋" w:cs="仿宋"/>
          <w:sz w:val="24"/>
          <w:lang w:eastAsia="zh-CN"/>
        </w:rPr>
        <w:t>2026年全市中小企业主要负责人和安全管理人员培训项目（</w:t>
      </w:r>
      <w:r>
        <w:rPr>
          <w:rFonts w:hint="eastAsia" w:ascii="仿宋" w:hAnsi="仿宋" w:eastAsia="仿宋" w:cs="仿宋"/>
          <w:sz w:val="24"/>
          <w:lang w:val="en-US" w:eastAsia="zh-CN"/>
        </w:rPr>
        <w:t>二次）</w:t>
      </w:r>
      <w:r>
        <w:rPr>
          <w:rFonts w:hint="eastAsia" w:ascii="仿宋" w:hAnsi="仿宋" w:eastAsia="仿宋" w:cs="仿宋"/>
          <w:sz w:val="24"/>
        </w:rPr>
        <w:t>(项目编号：ZZZC2026-011.1B1)，在</w:t>
      </w:r>
      <w:r>
        <w:rPr>
          <w:rFonts w:hint="eastAsia" w:ascii="仿宋" w:hAnsi="仿宋" w:eastAsia="仿宋" w:cs="仿宋"/>
          <w:sz w:val="24"/>
          <w:lang w:val="en-US" w:eastAsia="zh-CN"/>
        </w:rPr>
        <w:t>西安市财政局</w:t>
      </w:r>
      <w:r>
        <w:rPr>
          <w:rFonts w:hint="eastAsia" w:ascii="仿宋" w:hAnsi="仿宋" w:eastAsia="仿宋" w:cs="仿宋"/>
          <w:sz w:val="24"/>
        </w:rPr>
        <w:t>的监督管理</w:t>
      </w:r>
      <w:r>
        <w:rPr>
          <w:rFonts w:hint="eastAsia" w:ascii="仿宋" w:hAnsi="仿宋" w:eastAsia="仿宋" w:cs="仿宋"/>
          <w:kern w:val="0"/>
          <w:sz w:val="24"/>
        </w:rPr>
        <w:t>下，由</w:t>
      </w:r>
      <w:r>
        <w:rPr>
          <w:rFonts w:hint="eastAsia" w:ascii="仿宋" w:hAnsi="仿宋" w:eastAsia="仿宋" w:cs="仿宋"/>
          <w:kern w:val="0"/>
          <w:sz w:val="24"/>
          <w:lang w:eastAsia="zh-CN"/>
        </w:rPr>
        <w:t>中招(陕西)项目管理有限公司</w:t>
      </w:r>
      <w:r>
        <w:rPr>
          <w:rFonts w:hint="eastAsia" w:ascii="仿宋" w:hAnsi="仿宋" w:eastAsia="仿宋" w:cs="仿宋"/>
          <w:kern w:val="0"/>
          <w:sz w:val="24"/>
        </w:rPr>
        <w:t>组织竞争性磋商。</w:t>
      </w:r>
      <w:r>
        <w:rPr>
          <w:rFonts w:hint="eastAsia" w:ascii="仿宋" w:hAnsi="仿宋" w:eastAsia="仿宋" w:cs="仿宋"/>
          <w:sz w:val="24"/>
          <w:lang w:eastAsia="zh-CN"/>
        </w:rPr>
        <w:t>西安市应急管理局</w:t>
      </w:r>
      <w:r>
        <w:rPr>
          <w:rFonts w:hint="eastAsia" w:ascii="仿宋" w:hAnsi="仿宋" w:eastAsia="仿宋" w:cs="仿宋"/>
          <w:kern w:val="0"/>
          <w:sz w:val="24"/>
        </w:rPr>
        <w:t>(以下简称“甲方”)确定</w:t>
      </w:r>
      <w:r>
        <w:rPr>
          <w:rFonts w:hint="eastAsia" w:ascii="仿宋" w:hAnsi="仿宋" w:eastAsia="仿宋" w:cs="仿宋"/>
          <w:kern w:val="0"/>
          <w:sz w:val="24"/>
          <w:u w:val="single"/>
        </w:rPr>
        <w:t xml:space="preserve"> (成交单位名称) </w:t>
      </w:r>
      <w:r>
        <w:rPr>
          <w:rFonts w:hint="eastAsia" w:ascii="仿宋" w:hAnsi="仿宋" w:eastAsia="仿宋" w:cs="仿宋"/>
          <w:kern w:val="0"/>
          <w:sz w:val="24"/>
        </w:rPr>
        <w:t>（以下简称“乙方”）为成交单位。</w:t>
      </w:r>
    </w:p>
    <w:p w14:paraId="2606B626">
      <w:pPr>
        <w:keepNext w:val="0"/>
        <w:keepLines w:val="0"/>
        <w:pageBreakBefore w:val="0"/>
        <w:kinsoku/>
        <w:wordWrap/>
        <w:overflowPunct/>
        <w:topLinePunct w:val="0"/>
        <w:autoSpaceDE/>
        <w:autoSpaceDN/>
        <w:bidi w:val="0"/>
        <w:spacing w:line="440" w:lineRule="exact"/>
        <w:ind w:right="210" w:rightChars="100"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依据《</w:t>
      </w:r>
      <w:r>
        <w:rPr>
          <w:rFonts w:hint="eastAsia" w:ascii="仿宋" w:hAnsi="仿宋" w:eastAsia="仿宋" w:cs="仿宋"/>
          <w:kern w:val="0"/>
          <w:sz w:val="24"/>
          <w:lang w:eastAsia="zh-CN"/>
        </w:rPr>
        <w:t>中华人民共和国民法典</w:t>
      </w:r>
      <w:r>
        <w:rPr>
          <w:rFonts w:hint="eastAsia" w:ascii="仿宋" w:hAnsi="仿宋" w:eastAsia="仿宋" w:cs="仿宋"/>
          <w:kern w:val="0"/>
          <w:sz w:val="24"/>
        </w:rPr>
        <w:t>》和《中华人民共和国政府采购法》《中华人民共和国政府采购法实施条例》，甲方通过竞争性磋商采购</w:t>
      </w:r>
      <w:r>
        <w:rPr>
          <w:rFonts w:hint="eastAsia" w:ascii="仿宋" w:hAnsi="仿宋" w:eastAsia="仿宋" w:cs="仿宋"/>
          <w:kern w:val="0"/>
          <w:sz w:val="24"/>
          <w:u w:val="single"/>
          <w:lang w:val="en-US" w:eastAsia="zh-CN"/>
        </w:rPr>
        <w:t>2026年全市中小企业主要负责人和安全管理人员培训项目（二次）</w:t>
      </w:r>
      <w:r>
        <w:rPr>
          <w:rFonts w:hint="eastAsia" w:ascii="仿宋" w:hAnsi="仿宋" w:eastAsia="仿宋" w:cs="仿宋"/>
          <w:kern w:val="0"/>
          <w:sz w:val="24"/>
          <w:u w:val="single"/>
        </w:rPr>
        <w:t xml:space="preserve"> </w:t>
      </w:r>
      <w:r>
        <w:rPr>
          <w:rFonts w:hint="eastAsia" w:ascii="仿宋" w:hAnsi="仿宋" w:eastAsia="仿宋" w:cs="仿宋"/>
          <w:kern w:val="0"/>
          <w:sz w:val="24"/>
        </w:rPr>
        <w:t>，并接受了乙方以价格</w:t>
      </w:r>
      <w:r>
        <w:rPr>
          <w:rFonts w:hint="eastAsia" w:ascii="仿宋" w:hAnsi="仿宋" w:eastAsia="仿宋" w:cs="仿宋"/>
          <w:kern w:val="0"/>
          <w:sz w:val="24"/>
          <w:u w:val="single"/>
        </w:rPr>
        <w:t>(成交金额大写)</w:t>
      </w:r>
      <w:r>
        <w:rPr>
          <w:rFonts w:hint="eastAsia" w:ascii="仿宋" w:hAnsi="仿宋" w:eastAsia="仿宋" w:cs="仿宋"/>
          <w:kern w:val="0"/>
          <w:sz w:val="24"/>
        </w:rPr>
        <w:t>(以下简称“合同价”)提供的服务。</w:t>
      </w:r>
    </w:p>
    <w:p w14:paraId="27AD15D3">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bookmarkStart w:id="76" w:name="_Toc188808831"/>
      <w:bookmarkStart w:id="77" w:name="_Toc193187095"/>
      <w:bookmarkStart w:id="78" w:name="_Toc193126879"/>
      <w:bookmarkStart w:id="79" w:name="_Toc194663916"/>
      <w:r>
        <w:rPr>
          <w:rFonts w:hint="eastAsia" w:ascii="仿宋" w:hAnsi="仿宋" w:eastAsia="仿宋" w:cs="仿宋"/>
          <w:sz w:val="24"/>
        </w:rPr>
        <w:t>本合同在此声明如下：</w:t>
      </w:r>
    </w:p>
    <w:p w14:paraId="4D12D5A5">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本合同中的词语和术语的含义与合同条款中定义的相同。</w:t>
      </w:r>
    </w:p>
    <w:p w14:paraId="1F9AB5A8">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w:t>
      </w:r>
      <w:r>
        <w:rPr>
          <w:rFonts w:hint="eastAsia" w:ascii="仿宋" w:hAnsi="仿宋" w:eastAsia="仿宋" w:cs="仿宋"/>
          <w:sz w:val="24"/>
        </w:rPr>
        <w:t>下述文件是本合同的一部分，并与本合同一起阅读和解释：</w:t>
      </w:r>
    </w:p>
    <w:p w14:paraId="33E0E2A6">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2.1</w:t>
      </w:r>
      <w:r>
        <w:rPr>
          <w:rFonts w:hint="eastAsia" w:ascii="仿宋" w:hAnsi="仿宋" w:eastAsia="仿宋" w:cs="仿宋"/>
          <w:sz w:val="24"/>
        </w:rPr>
        <w:t>合同条款</w:t>
      </w:r>
    </w:p>
    <w:p w14:paraId="7C965314">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2.2</w:t>
      </w:r>
      <w:r>
        <w:rPr>
          <w:rFonts w:hint="eastAsia" w:ascii="仿宋" w:hAnsi="仿宋" w:eastAsia="仿宋" w:cs="仿宋"/>
          <w:sz w:val="24"/>
        </w:rPr>
        <w:t>合同条款附件</w:t>
      </w:r>
    </w:p>
    <w:p w14:paraId="3E5973F2">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highlight w:val="none"/>
        </w:rPr>
        <w:t>附件—</w:t>
      </w:r>
      <w:r>
        <w:rPr>
          <w:rFonts w:hint="eastAsia" w:ascii="仿宋" w:hAnsi="仿宋" w:eastAsia="仿宋" w:cs="仿宋"/>
          <w:sz w:val="24"/>
          <w:highlight w:val="none"/>
          <w:lang w:val="en-US" w:eastAsia="zh-CN"/>
        </w:rPr>
        <w:t>服务保障措施</w:t>
      </w:r>
    </w:p>
    <w:p w14:paraId="4C003654">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2.3</w:t>
      </w:r>
      <w:r>
        <w:rPr>
          <w:rFonts w:hint="eastAsia" w:ascii="仿宋" w:hAnsi="仿宋" w:eastAsia="仿宋" w:cs="仿宋"/>
          <w:sz w:val="24"/>
        </w:rPr>
        <w:t>成交通知书</w:t>
      </w:r>
    </w:p>
    <w:p w14:paraId="2E530D70">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2.4</w:t>
      </w:r>
      <w:r>
        <w:rPr>
          <w:rFonts w:hint="eastAsia" w:ascii="仿宋" w:hAnsi="仿宋" w:eastAsia="仿宋" w:cs="仿宋"/>
          <w:sz w:val="24"/>
        </w:rPr>
        <w:t>竞争性磋商文件</w:t>
      </w:r>
    </w:p>
    <w:p w14:paraId="7555D0CD">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2.5</w:t>
      </w:r>
      <w:r>
        <w:rPr>
          <w:rFonts w:hint="eastAsia" w:ascii="仿宋" w:hAnsi="仿宋" w:eastAsia="仿宋" w:cs="仿宋"/>
          <w:sz w:val="24"/>
        </w:rPr>
        <w:t>竞争性磋商响应文件</w:t>
      </w:r>
    </w:p>
    <w:p w14:paraId="61579317">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w:t>
      </w:r>
      <w:r>
        <w:rPr>
          <w:rFonts w:hint="eastAsia" w:ascii="仿宋" w:hAnsi="仿宋" w:eastAsia="仿宋" w:cs="仿宋"/>
          <w:sz w:val="24"/>
        </w:rPr>
        <w:t>考虑到甲方将按照本合同向乙方支付款项，乙方在此保证全部按照合同的规定向甲方提供服务，并修补缺陷。</w:t>
      </w:r>
    </w:p>
    <w:p w14:paraId="3D18FD79">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4</w:t>
      </w:r>
      <w:r>
        <w:rPr>
          <w:rFonts w:hint="eastAsia" w:ascii="仿宋" w:hAnsi="仿宋" w:eastAsia="仿宋" w:cs="仿宋"/>
          <w:sz w:val="24"/>
          <w:lang w:val="en-US" w:eastAsia="zh-CN"/>
        </w:rPr>
        <w:t>.</w:t>
      </w:r>
      <w:r>
        <w:rPr>
          <w:rFonts w:hint="eastAsia" w:ascii="仿宋" w:hAnsi="仿宋" w:eastAsia="仿宋" w:cs="仿宋"/>
          <w:sz w:val="24"/>
        </w:rPr>
        <w:t>考虑到乙方提供的服务并修补缺陷，甲方在此保证按照合同规定的时间和方式向乙方支付合同价或其他按合同规定应支付的金额。</w:t>
      </w:r>
    </w:p>
    <w:p w14:paraId="3544D808">
      <w:pPr>
        <w:pStyle w:val="4"/>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sz w:val="24"/>
          <w:lang w:val="en-US" w:eastAsia="zh-CN"/>
        </w:rPr>
        <w:t>.</w:t>
      </w:r>
      <w:r>
        <w:rPr>
          <w:rFonts w:hint="eastAsia" w:ascii="仿宋" w:hAnsi="仿宋" w:eastAsia="仿宋" w:cs="仿宋"/>
          <w:sz w:val="24"/>
        </w:rPr>
        <w:t>付款方式：</w:t>
      </w:r>
    </w:p>
    <w:p w14:paraId="7892154F">
      <w:pPr>
        <w:pStyle w:val="4"/>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rPr>
        <w:t>5</w:t>
      </w:r>
      <w:r>
        <w:rPr>
          <w:rFonts w:hint="eastAsia" w:ascii="仿宋" w:hAnsi="仿宋" w:eastAsia="仿宋" w:cs="仿宋"/>
          <w:sz w:val="24"/>
          <w:lang w:val="en-US" w:eastAsia="zh-CN"/>
        </w:rPr>
        <w:t>.1</w:t>
      </w:r>
      <w:r>
        <w:rPr>
          <w:rFonts w:hint="eastAsia" w:ascii="仿宋" w:hAnsi="仿宋" w:eastAsia="仿宋" w:cs="仿宋"/>
          <w:sz w:val="24"/>
          <w:szCs w:val="24"/>
        </w:rPr>
        <w:t>在每次付款前，乙方先向甲方开具等额发票。</w:t>
      </w:r>
    </w:p>
    <w:p w14:paraId="300C1039">
      <w:pPr>
        <w:pStyle w:val="4"/>
        <w:keepNext w:val="0"/>
        <w:keepLines w:val="0"/>
        <w:pageBreakBefore w:val="0"/>
        <w:kinsoku/>
        <w:wordWrap/>
        <w:overflowPunct/>
        <w:topLinePunct w:val="0"/>
        <w:autoSpaceDE/>
        <w:autoSpaceDN/>
        <w:bidi w:val="0"/>
        <w:spacing w:line="440" w:lineRule="exact"/>
        <w:ind w:firstLine="480" w:firstLineChars="200"/>
        <w:textAlignment w:val="auto"/>
        <w:rPr>
          <w:rFonts w:hint="eastAsia" w:ascii="仿宋" w:hAnsi="仿宋" w:eastAsia="仿宋" w:cs="仿宋"/>
          <w:sz w:val="24"/>
          <w:szCs w:val="24"/>
          <w:u w:val="single"/>
          <w:lang w:val="en-US" w:eastAsia="zh-CN"/>
        </w:rPr>
      </w:pPr>
      <w:r>
        <w:rPr>
          <w:rFonts w:hint="eastAsia" w:ascii="仿宋" w:hAnsi="仿宋" w:eastAsia="仿宋" w:cs="仿宋"/>
          <w:sz w:val="24"/>
          <w:szCs w:val="24"/>
        </w:rPr>
        <w:t>5</w:t>
      </w:r>
      <w:r>
        <w:rPr>
          <w:rFonts w:hint="eastAsia" w:ascii="仿宋" w:hAnsi="仿宋" w:eastAsia="仿宋" w:cs="仿宋"/>
          <w:sz w:val="24"/>
          <w:szCs w:val="24"/>
          <w:lang w:val="en-US" w:eastAsia="zh-CN"/>
        </w:rPr>
        <w:t>.2</w:t>
      </w:r>
      <w:r>
        <w:rPr>
          <w:rFonts w:hint="eastAsia" w:ascii="仿宋" w:hAnsi="仿宋" w:eastAsia="仿宋" w:cs="仿宋"/>
          <w:sz w:val="24"/>
          <w:szCs w:val="24"/>
        </w:rPr>
        <w:t>付款方式：</w:t>
      </w:r>
      <w:r>
        <w:rPr>
          <w:rFonts w:hint="eastAsia" w:ascii="仿宋" w:hAnsi="仿宋" w:eastAsia="仿宋" w:cs="仿宋"/>
          <w:sz w:val="24"/>
          <w:szCs w:val="24"/>
          <w:u w:val="single"/>
          <w:lang w:val="en-US" w:eastAsia="zh-CN"/>
        </w:rPr>
        <w:t xml:space="preserve">                        </w:t>
      </w:r>
    </w:p>
    <w:p w14:paraId="232DBA91">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6</w:t>
      </w:r>
      <w:r>
        <w:rPr>
          <w:rFonts w:hint="eastAsia" w:ascii="仿宋" w:hAnsi="仿宋" w:eastAsia="仿宋" w:cs="仿宋"/>
          <w:sz w:val="24"/>
          <w:lang w:val="en-US" w:eastAsia="zh-CN"/>
        </w:rPr>
        <w:t>.</w:t>
      </w:r>
      <w:r>
        <w:rPr>
          <w:rFonts w:hint="eastAsia" w:ascii="仿宋" w:hAnsi="仿宋" w:eastAsia="仿宋" w:cs="仿宋"/>
          <w:sz w:val="24"/>
        </w:rPr>
        <w:t>服务期限：</w:t>
      </w:r>
    </w:p>
    <w:p w14:paraId="25CB1E41">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  服务地点：</w:t>
      </w:r>
      <w:r>
        <w:rPr>
          <w:rFonts w:hint="eastAsia" w:ascii="仿宋" w:hAnsi="仿宋" w:eastAsia="仿宋" w:cs="仿宋"/>
          <w:sz w:val="24"/>
          <w:lang w:eastAsia="zh-CN"/>
        </w:rPr>
        <w:t>西安市内（采购人指定地点）</w:t>
      </w:r>
      <w:r>
        <w:rPr>
          <w:rFonts w:hint="eastAsia" w:ascii="仿宋" w:hAnsi="仿宋" w:eastAsia="仿宋" w:cs="仿宋"/>
          <w:sz w:val="24"/>
        </w:rPr>
        <w:t>。</w:t>
      </w:r>
    </w:p>
    <w:p w14:paraId="033585F3">
      <w:pPr>
        <w:keepNext w:val="0"/>
        <w:keepLines w:val="0"/>
        <w:pageBreakBefore w:val="0"/>
        <w:kinsoku/>
        <w:wordWrap/>
        <w:overflowPunct/>
        <w:topLinePunct w:val="0"/>
        <w:autoSpaceDE/>
        <w:autoSpaceDN/>
        <w:bidi w:val="0"/>
        <w:adjustRightInd w:val="0"/>
        <w:spacing w:line="440" w:lineRule="exact"/>
        <w:ind w:firstLine="480" w:firstLineChars="200"/>
        <w:textAlignment w:val="auto"/>
        <w:rPr>
          <w:rFonts w:hint="eastAsia" w:ascii="仿宋" w:hAnsi="仿宋" w:eastAsia="仿宋" w:cs="仿宋"/>
          <w:sz w:val="24"/>
        </w:rPr>
      </w:pPr>
      <w:r>
        <w:rPr>
          <w:rFonts w:hint="eastAsia" w:ascii="仿宋" w:hAnsi="仿宋" w:eastAsia="仿宋" w:cs="仿宋"/>
          <w:sz w:val="24"/>
        </w:rPr>
        <w:t>7</w:t>
      </w:r>
      <w:r>
        <w:rPr>
          <w:rFonts w:hint="eastAsia" w:ascii="仿宋" w:hAnsi="仿宋" w:eastAsia="仿宋" w:cs="仿宋"/>
          <w:sz w:val="24"/>
          <w:lang w:val="en-US" w:eastAsia="zh-CN"/>
        </w:rPr>
        <w:t>.</w:t>
      </w:r>
      <w:r>
        <w:rPr>
          <w:rFonts w:hint="eastAsia" w:ascii="仿宋" w:hAnsi="仿宋" w:eastAsia="仿宋" w:cs="仿宋"/>
          <w:sz w:val="24"/>
        </w:rPr>
        <w:t>本合同一式</w:t>
      </w:r>
      <w:r>
        <w:rPr>
          <w:rFonts w:hint="eastAsia" w:ascii="仿宋" w:hAnsi="仿宋" w:eastAsia="仿宋" w:cs="仿宋"/>
          <w:sz w:val="24"/>
          <w:lang w:val="en-US" w:eastAsia="zh-CN"/>
        </w:rPr>
        <w:t>肆</w:t>
      </w:r>
      <w:r>
        <w:rPr>
          <w:rFonts w:hint="eastAsia" w:ascii="仿宋" w:hAnsi="仿宋" w:eastAsia="仿宋" w:cs="仿宋"/>
          <w:sz w:val="24"/>
        </w:rPr>
        <w:t>份，其中，甲方贰份，乙方贰份。</w:t>
      </w:r>
    </w:p>
    <w:p w14:paraId="22933BE1">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8</w:t>
      </w:r>
      <w:r>
        <w:rPr>
          <w:rFonts w:hint="eastAsia" w:ascii="仿宋" w:hAnsi="仿宋" w:eastAsia="仿宋" w:cs="仿宋"/>
          <w:kern w:val="0"/>
          <w:sz w:val="24"/>
          <w:lang w:val="en-US" w:eastAsia="zh-CN"/>
        </w:rPr>
        <w:t>.</w:t>
      </w:r>
      <w:r>
        <w:rPr>
          <w:rFonts w:hint="eastAsia" w:ascii="仿宋" w:hAnsi="仿宋" w:eastAsia="仿宋" w:cs="仿宋"/>
          <w:kern w:val="0"/>
          <w:sz w:val="24"/>
        </w:rPr>
        <w:t>本合同由甲乙双方共同签字盖章之日起生效。</w:t>
      </w:r>
    </w:p>
    <w:p w14:paraId="21A66D9C">
      <w:pPr>
        <w:keepNext w:val="0"/>
        <w:keepLines w:val="0"/>
        <w:pageBreakBefore w:val="0"/>
        <w:kinsoku/>
        <w:wordWrap/>
        <w:overflowPunct/>
        <w:topLinePunct w:val="0"/>
        <w:autoSpaceDE/>
        <w:autoSpaceDN/>
        <w:bidi w:val="0"/>
        <w:adjustRightInd w:val="0"/>
        <w:spacing w:line="440" w:lineRule="exact"/>
        <w:ind w:firstLine="480" w:firstLineChars="200"/>
        <w:textAlignment w:val="auto"/>
        <w:rPr>
          <w:rFonts w:hint="eastAsia" w:ascii="仿宋" w:hAnsi="仿宋" w:eastAsia="仿宋" w:cs="仿宋"/>
          <w:sz w:val="24"/>
          <w:lang w:val="zh-CN" w:eastAsia="zh-CN"/>
        </w:rPr>
      </w:pPr>
      <w:r>
        <w:rPr>
          <w:rFonts w:hint="eastAsia" w:ascii="仿宋" w:hAnsi="仿宋" w:eastAsia="仿宋" w:cs="仿宋"/>
          <w:sz w:val="24"/>
          <w:lang w:val="en-US" w:eastAsia="zh-CN"/>
        </w:rPr>
        <w:t>9.政府采购信用担保及信用融资政策</w:t>
      </w:r>
    </w:p>
    <w:p w14:paraId="5F09A9F8">
      <w:pPr>
        <w:keepNext w:val="0"/>
        <w:keepLines w:val="0"/>
        <w:pageBreakBefore w:val="0"/>
        <w:kinsoku/>
        <w:wordWrap/>
        <w:overflowPunct/>
        <w:topLinePunct w:val="0"/>
        <w:autoSpaceDE/>
        <w:autoSpaceDN/>
        <w:bidi w:val="0"/>
        <w:adjustRightInd w:val="0"/>
        <w:spacing w:line="440" w:lineRule="exact"/>
        <w:ind w:firstLine="480" w:firstLineChars="200"/>
        <w:textAlignment w:val="auto"/>
        <w:rPr>
          <w:rFonts w:hint="eastAsia" w:ascii="仿宋" w:hAnsi="仿宋" w:eastAsia="仿宋" w:cs="仿宋"/>
          <w:sz w:val="24"/>
          <w:lang w:eastAsia="zh-CN"/>
        </w:rPr>
      </w:pPr>
      <w:r>
        <w:rPr>
          <w:rFonts w:hint="eastAsia" w:ascii="仿宋" w:hAnsi="仿宋" w:eastAsia="仿宋" w:cs="仿宋"/>
          <w:sz w:val="24"/>
        </w:rPr>
        <w:t>为支持和促进中小企业发展，进一步发挥政府采购政策功能作用，根据《陕西省财政厅关于印发&lt;陕西省中小企业政府采购信用融资办法&gt;的通知》（陕财办采〔2018〕23号）、《陕西省财政厅关于加快推进我省中小企业政府采购信用融资工作的通知》（陕财办采[2020]15号）及各级财政部门关于政府采购信用融资工作的规定，为参与陕西省政府采购项目的供应商提供政府采购信用担保和融资服务，并按照程序确定了合作的担保机构和商业银行。</w:t>
      </w:r>
    </w:p>
    <w:p w14:paraId="5D5E2EB4">
      <w:pPr>
        <w:keepNext w:val="0"/>
        <w:keepLines w:val="0"/>
        <w:pageBreakBefore w:val="0"/>
        <w:kinsoku/>
        <w:wordWrap/>
        <w:overflowPunct/>
        <w:topLinePunct w:val="0"/>
        <w:autoSpaceDE/>
        <w:autoSpaceDN/>
        <w:bidi w:val="0"/>
        <w:adjustRightInd w:val="0"/>
        <w:spacing w:line="440" w:lineRule="exact"/>
        <w:ind w:firstLine="480" w:firstLineChars="200"/>
        <w:textAlignment w:val="auto"/>
        <w:rPr>
          <w:rFonts w:hint="eastAsia" w:ascii="仿宋" w:hAnsi="仿宋" w:eastAsia="仿宋" w:cs="仿宋"/>
          <w:lang w:val="en-US" w:eastAsia="zh-CN"/>
        </w:rPr>
      </w:pPr>
      <w:r>
        <w:rPr>
          <w:rFonts w:hint="eastAsia" w:ascii="仿宋" w:hAnsi="仿宋" w:eastAsia="仿宋" w:cs="仿宋"/>
          <w:sz w:val="24"/>
          <w:lang w:eastAsia="zh-CN"/>
        </w:rPr>
        <w:t>乙方</w:t>
      </w:r>
      <w:r>
        <w:rPr>
          <w:rFonts w:hint="eastAsia" w:ascii="仿宋" w:hAnsi="仿宋" w:eastAsia="仿宋" w:cs="仿宋"/>
          <w:sz w:val="24"/>
        </w:rPr>
        <w:t>如果需要融资贷款服务</w:t>
      </w:r>
      <w:r>
        <w:rPr>
          <w:rFonts w:hint="eastAsia" w:ascii="仿宋" w:hAnsi="仿宋" w:eastAsia="仿宋" w:cs="仿宋"/>
          <w:sz w:val="24"/>
          <w:lang w:eastAsia="zh-CN"/>
        </w:rPr>
        <w:t>需求</w:t>
      </w:r>
      <w:r>
        <w:rPr>
          <w:rFonts w:hint="eastAsia" w:ascii="仿宋" w:hAnsi="仿宋" w:eastAsia="仿宋" w:cs="仿宋"/>
          <w:sz w:val="24"/>
        </w:rPr>
        <w:t>的，可凭</w:t>
      </w:r>
      <w:r>
        <w:rPr>
          <w:rFonts w:hint="eastAsia" w:ascii="仿宋" w:hAnsi="仿宋" w:eastAsia="仿宋" w:cs="仿宋"/>
          <w:sz w:val="24"/>
          <w:lang w:eastAsia="zh-CN"/>
        </w:rPr>
        <w:t>成交</w:t>
      </w:r>
      <w:r>
        <w:rPr>
          <w:rFonts w:hint="eastAsia" w:ascii="仿宋" w:hAnsi="仿宋" w:eastAsia="仿宋" w:cs="仿宋"/>
          <w:sz w:val="24"/>
        </w:rPr>
        <w:t>通知书、政府采购合同等相关资料，按照文件规定的相关政策、业务流程申请办理，具体规定可</w:t>
      </w:r>
      <w:r>
        <w:rPr>
          <w:rFonts w:hint="eastAsia" w:ascii="仿宋" w:hAnsi="仿宋" w:eastAsia="仿宋" w:cs="仿宋"/>
          <w:sz w:val="24"/>
          <w:lang w:eastAsia="zh-CN"/>
        </w:rPr>
        <w:t>登录</w:t>
      </w:r>
      <w:r>
        <w:rPr>
          <w:rFonts w:hint="eastAsia" w:ascii="仿宋" w:hAnsi="仿宋" w:eastAsia="仿宋" w:cs="仿宋"/>
          <w:sz w:val="24"/>
        </w:rPr>
        <w:t>陕西省政府采购信用融资平台（http://www.ccgp-shaanxi.gov.cn/zcdservice/zcd/shanxi/）查询了解。</w:t>
      </w:r>
    </w:p>
    <w:tbl>
      <w:tblPr>
        <w:tblStyle w:val="10"/>
        <w:tblpPr w:leftFromText="180" w:rightFromText="180" w:vertAnchor="text" w:horzAnchor="margin" w:tblpX="406" w:tblpY="58"/>
        <w:tblOverlap w:val="never"/>
        <w:tblW w:w="0" w:type="auto"/>
        <w:tblInd w:w="0" w:type="dxa"/>
        <w:tblLayout w:type="fixed"/>
        <w:tblCellMar>
          <w:top w:w="0" w:type="dxa"/>
          <w:left w:w="108" w:type="dxa"/>
          <w:bottom w:w="0" w:type="dxa"/>
          <w:right w:w="108" w:type="dxa"/>
        </w:tblCellMar>
      </w:tblPr>
      <w:tblGrid>
        <w:gridCol w:w="4425"/>
        <w:gridCol w:w="3936"/>
      </w:tblGrid>
      <w:tr w14:paraId="17541699">
        <w:tblPrEx>
          <w:tblCellMar>
            <w:top w:w="0" w:type="dxa"/>
            <w:left w:w="108" w:type="dxa"/>
            <w:bottom w:w="0" w:type="dxa"/>
            <w:right w:w="108" w:type="dxa"/>
          </w:tblCellMar>
        </w:tblPrEx>
        <w:trPr>
          <w:trHeight w:val="3093" w:hRule="atLeast"/>
        </w:trPr>
        <w:tc>
          <w:tcPr>
            <w:tcW w:w="4425" w:type="dxa"/>
            <w:noWrap w:val="0"/>
            <w:tcMar>
              <w:top w:w="113" w:type="dxa"/>
              <w:left w:w="113" w:type="dxa"/>
              <w:bottom w:w="113" w:type="dxa"/>
              <w:right w:w="113" w:type="dxa"/>
            </w:tcMar>
            <w:vAlign w:val="top"/>
          </w:tcPr>
          <w:p w14:paraId="5BDA5DF0">
            <w:pPr>
              <w:autoSpaceDE w:val="0"/>
              <w:autoSpaceDN w:val="0"/>
              <w:spacing w:line="360" w:lineRule="auto"/>
              <w:ind w:left="210" w:leftChars="100"/>
              <w:rPr>
                <w:rFonts w:hint="eastAsia" w:ascii="仿宋" w:hAnsi="仿宋" w:eastAsia="仿宋" w:cs="仿宋"/>
                <w:sz w:val="24"/>
                <w:lang w:val="en-US" w:eastAsia="zh-CN"/>
              </w:rPr>
            </w:pPr>
            <w:r>
              <w:rPr>
                <w:rFonts w:hint="eastAsia" w:ascii="仿宋" w:hAnsi="仿宋" w:eastAsia="仿宋" w:cs="仿宋"/>
                <w:sz w:val="24"/>
              </w:rPr>
              <w:t>甲方名称：</w:t>
            </w:r>
            <w:r>
              <w:rPr>
                <w:rFonts w:hint="eastAsia" w:ascii="仿宋" w:hAnsi="仿宋" w:eastAsia="仿宋" w:cs="仿宋"/>
                <w:sz w:val="24"/>
                <w:lang w:eastAsia="zh-CN"/>
              </w:rPr>
              <w:t>（盖章）</w:t>
            </w: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p>
          <w:p w14:paraId="0E0FAA3A">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 xml:space="preserve">地    址： </w:t>
            </w:r>
          </w:p>
          <w:p w14:paraId="6D3B408E">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邮    编：</w:t>
            </w:r>
          </w:p>
          <w:p w14:paraId="5ABB58A3">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电    话：</w:t>
            </w:r>
          </w:p>
          <w:p w14:paraId="0D5F65E0">
            <w:pPr>
              <w:autoSpaceDE w:val="0"/>
              <w:autoSpaceDN w:val="0"/>
              <w:spacing w:line="360" w:lineRule="auto"/>
              <w:ind w:left="210" w:leftChars="100"/>
              <w:rPr>
                <w:rFonts w:hint="eastAsia" w:ascii="仿宋" w:hAnsi="仿宋" w:eastAsia="仿宋" w:cs="仿宋"/>
                <w:sz w:val="24"/>
              </w:rPr>
            </w:pPr>
          </w:p>
          <w:p w14:paraId="50D6F379">
            <w:pPr>
              <w:autoSpaceDE w:val="0"/>
              <w:autoSpaceDN w:val="0"/>
              <w:spacing w:line="360" w:lineRule="auto"/>
              <w:ind w:left="210" w:leftChars="100"/>
              <w:rPr>
                <w:rFonts w:hint="eastAsia" w:ascii="仿宋" w:hAnsi="仿宋" w:eastAsia="仿宋" w:cs="仿宋"/>
                <w:sz w:val="24"/>
              </w:rPr>
            </w:pPr>
          </w:p>
          <w:p w14:paraId="3CB240D6">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代表签字</w:t>
            </w:r>
            <w:r>
              <w:rPr>
                <w:rFonts w:hint="eastAsia" w:ascii="仿宋" w:hAnsi="仿宋" w:eastAsia="仿宋" w:cs="仿宋"/>
                <w:sz w:val="24"/>
                <w:lang w:eastAsia="zh-CN"/>
              </w:rPr>
              <w:t>或盖章</w:t>
            </w:r>
            <w:r>
              <w:rPr>
                <w:rFonts w:hint="eastAsia" w:ascii="仿宋" w:hAnsi="仿宋" w:eastAsia="仿宋" w:cs="仿宋"/>
                <w:sz w:val="24"/>
              </w:rPr>
              <w:t>：</w:t>
            </w:r>
          </w:p>
          <w:p w14:paraId="2DD5E4BD">
            <w:pPr>
              <w:autoSpaceDE w:val="0"/>
              <w:autoSpaceDN w:val="0"/>
              <w:spacing w:line="360" w:lineRule="auto"/>
              <w:rPr>
                <w:rFonts w:hint="eastAsia" w:ascii="仿宋" w:hAnsi="仿宋" w:eastAsia="仿宋" w:cs="仿宋"/>
                <w:sz w:val="24"/>
              </w:rPr>
            </w:pPr>
            <w:r>
              <w:rPr>
                <w:rFonts w:hint="eastAsia" w:ascii="仿宋" w:hAnsi="仿宋" w:eastAsia="仿宋" w:cs="仿宋"/>
                <w:sz w:val="24"/>
              </w:rPr>
              <w:t xml:space="preserve">                年  月  日      </w:t>
            </w:r>
          </w:p>
          <w:p w14:paraId="1506F57F">
            <w:pPr>
              <w:autoSpaceDE w:val="0"/>
              <w:autoSpaceDN w:val="0"/>
              <w:spacing w:line="360" w:lineRule="auto"/>
              <w:rPr>
                <w:rFonts w:hint="eastAsia" w:ascii="仿宋" w:hAnsi="仿宋" w:eastAsia="仿宋" w:cs="仿宋"/>
                <w:sz w:val="24"/>
              </w:rPr>
            </w:pPr>
            <w:r>
              <w:rPr>
                <w:rFonts w:hint="eastAsia" w:ascii="仿宋" w:hAnsi="仿宋" w:eastAsia="仿宋" w:cs="仿宋"/>
                <w:sz w:val="24"/>
              </w:rPr>
              <w:t xml:space="preserve"> </w:t>
            </w:r>
          </w:p>
        </w:tc>
        <w:tc>
          <w:tcPr>
            <w:tcW w:w="3936" w:type="dxa"/>
            <w:noWrap w:val="0"/>
            <w:tcMar>
              <w:top w:w="113" w:type="dxa"/>
              <w:left w:w="113" w:type="dxa"/>
              <w:bottom w:w="113" w:type="dxa"/>
              <w:right w:w="113" w:type="dxa"/>
            </w:tcMar>
            <w:vAlign w:val="top"/>
          </w:tcPr>
          <w:p w14:paraId="213E66FC">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乙方名称：</w:t>
            </w:r>
            <w:r>
              <w:rPr>
                <w:rFonts w:hint="eastAsia" w:ascii="仿宋" w:hAnsi="仿宋" w:eastAsia="仿宋" w:cs="仿宋"/>
                <w:sz w:val="24"/>
                <w:lang w:eastAsia="zh-CN"/>
              </w:rPr>
              <w:t>（盖章）</w:t>
            </w:r>
          </w:p>
          <w:p w14:paraId="54C35367">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 xml:space="preserve">地    址： </w:t>
            </w:r>
          </w:p>
          <w:p w14:paraId="359D4E08">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 xml:space="preserve">邮    编： </w:t>
            </w:r>
          </w:p>
          <w:p w14:paraId="17628AD7">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 xml:space="preserve">电    话： </w:t>
            </w:r>
          </w:p>
          <w:p w14:paraId="4C2F9615">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rPr>
              <w:t>开户银行：</w:t>
            </w:r>
          </w:p>
          <w:p w14:paraId="0C8259A8">
            <w:pPr>
              <w:autoSpaceDE w:val="0"/>
              <w:autoSpaceDN w:val="0"/>
              <w:spacing w:line="360" w:lineRule="auto"/>
              <w:ind w:left="210" w:leftChars="100"/>
              <w:rPr>
                <w:rFonts w:hint="eastAsia" w:ascii="仿宋" w:hAnsi="仿宋" w:eastAsia="仿宋" w:cs="仿宋"/>
                <w:sz w:val="24"/>
              </w:rPr>
            </w:pPr>
            <w:r>
              <w:rPr>
                <w:rFonts w:hint="eastAsia" w:ascii="仿宋" w:hAnsi="仿宋" w:eastAsia="仿宋" w:cs="仿宋"/>
                <w:sz w:val="24"/>
                <w:lang w:eastAsia="zh-CN"/>
              </w:rPr>
              <w:t>账</w:t>
            </w:r>
            <w:r>
              <w:rPr>
                <w:rFonts w:hint="eastAsia" w:ascii="仿宋" w:hAnsi="仿宋" w:eastAsia="仿宋" w:cs="仿宋"/>
                <w:sz w:val="24"/>
              </w:rPr>
              <w:t xml:space="preserve">    号：</w:t>
            </w:r>
          </w:p>
          <w:p w14:paraId="5B615DF6">
            <w:pPr>
              <w:autoSpaceDE w:val="0"/>
              <w:autoSpaceDN w:val="0"/>
              <w:spacing w:line="360" w:lineRule="auto"/>
              <w:ind w:left="210" w:leftChars="100"/>
              <w:rPr>
                <w:rFonts w:hint="eastAsia" w:ascii="仿宋" w:hAnsi="仿宋" w:eastAsia="仿宋" w:cs="仿宋"/>
                <w:sz w:val="24"/>
                <w:lang w:eastAsia="zh-CN"/>
              </w:rPr>
            </w:pPr>
            <w:r>
              <w:rPr>
                <w:rFonts w:hint="eastAsia" w:ascii="仿宋" w:hAnsi="仿宋" w:eastAsia="仿宋" w:cs="仿宋"/>
                <w:sz w:val="24"/>
              </w:rPr>
              <w:t>代表签字</w:t>
            </w:r>
            <w:r>
              <w:rPr>
                <w:rFonts w:hint="eastAsia" w:ascii="仿宋" w:hAnsi="仿宋" w:eastAsia="仿宋" w:cs="仿宋"/>
                <w:sz w:val="24"/>
                <w:lang w:eastAsia="zh-CN"/>
              </w:rPr>
              <w:t>或盖章：</w:t>
            </w:r>
          </w:p>
          <w:p w14:paraId="657A239D">
            <w:pPr>
              <w:spacing w:line="360" w:lineRule="auto"/>
              <w:ind w:left="210" w:leftChars="100"/>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rPr>
                <w:rFonts w:hint="eastAsia" w:ascii="仿宋" w:hAnsi="仿宋" w:eastAsia="仿宋" w:cs="仿宋"/>
                <w:sz w:val="24"/>
              </w:rPr>
              <w:t xml:space="preserve">     年  月  日</w:t>
            </w:r>
          </w:p>
        </w:tc>
      </w:tr>
    </w:tbl>
    <w:p w14:paraId="3C7F358F">
      <w:pPr>
        <w:spacing w:line="520" w:lineRule="exact"/>
        <w:rPr>
          <w:rFonts w:hint="eastAsia" w:ascii="仿宋" w:hAnsi="仿宋" w:eastAsia="仿宋" w:cs="仿宋"/>
          <w:sz w:val="24"/>
        </w:rPr>
      </w:pPr>
    </w:p>
    <w:p w14:paraId="081DE255">
      <w:pPr>
        <w:spacing w:line="520" w:lineRule="exact"/>
        <w:rPr>
          <w:rFonts w:hint="eastAsia" w:ascii="仿宋" w:hAnsi="仿宋" w:eastAsia="仿宋" w:cs="仿宋"/>
          <w:sz w:val="24"/>
        </w:rPr>
      </w:pPr>
    </w:p>
    <w:p w14:paraId="54119484">
      <w:pPr>
        <w:spacing w:line="520" w:lineRule="exact"/>
        <w:rPr>
          <w:rFonts w:hint="eastAsia" w:ascii="仿宋" w:hAnsi="仿宋" w:eastAsia="仿宋" w:cs="仿宋"/>
          <w:sz w:val="24"/>
        </w:rPr>
      </w:pPr>
    </w:p>
    <w:bookmarkEnd w:id="76"/>
    <w:bookmarkEnd w:id="77"/>
    <w:bookmarkEnd w:id="78"/>
    <w:bookmarkEnd w:id="79"/>
    <w:p w14:paraId="329E5BCD">
      <w:pPr>
        <w:spacing w:line="520" w:lineRule="exact"/>
        <w:rPr>
          <w:rFonts w:hint="eastAsia" w:ascii="仿宋" w:hAnsi="仿宋" w:eastAsia="仿宋" w:cs="仿宋"/>
          <w:sz w:val="24"/>
        </w:rPr>
      </w:pPr>
    </w:p>
    <w:p w14:paraId="4710F339">
      <w:pPr>
        <w:spacing w:line="520" w:lineRule="exact"/>
        <w:rPr>
          <w:rFonts w:hint="eastAsia" w:ascii="仿宋" w:hAnsi="仿宋" w:eastAsia="仿宋" w:cs="仿宋"/>
          <w:sz w:val="24"/>
        </w:rPr>
      </w:pPr>
    </w:p>
    <w:p w14:paraId="797F63E1">
      <w:pPr>
        <w:rPr>
          <w:rFonts w:hint="eastAsia" w:ascii="仿宋" w:hAnsi="仿宋" w:eastAsia="仿宋" w:cs="仿宋"/>
          <w:sz w:val="24"/>
        </w:rPr>
      </w:pPr>
      <w:r>
        <w:rPr>
          <w:rFonts w:hint="eastAsia" w:ascii="仿宋" w:hAnsi="仿宋" w:eastAsia="仿宋" w:cs="仿宋"/>
          <w:sz w:val="24"/>
        </w:rPr>
        <w:br w:type="page"/>
      </w:r>
    </w:p>
    <w:p w14:paraId="1FEE0F00">
      <w:pPr>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sz w:val="24"/>
        </w:rPr>
      </w:pPr>
      <w:r>
        <w:rPr>
          <w:rFonts w:hint="eastAsia" w:ascii="仿宋" w:hAnsi="仿宋" w:eastAsia="仿宋" w:cs="仿宋"/>
          <w:sz w:val="24"/>
        </w:rPr>
        <w:t>二、合同条款</w:t>
      </w:r>
    </w:p>
    <w:p w14:paraId="45E9960A">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 xml:space="preserve">第一条 本着平等互惠、互相支持、共同发展的原则，就甲方针对本项目的事宜， 经甲乙双方友好协商，共同签署本合同，以资共同遵守。 </w:t>
      </w:r>
    </w:p>
    <w:p w14:paraId="3036CF20">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 xml:space="preserve">第二条 服务定义：根据甲方需要，乙方为甲方提供该项目的服务等业务。 </w:t>
      </w:r>
    </w:p>
    <w:p w14:paraId="373DE5C9">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 xml:space="preserve">第三条 乙方服务人员：是指乙方派出的符合本合同资格条件的、在甲方从事本合同规定的服务项目范围以内工作的人员。乙方有义务在本合同有效期内维持其与服务人员合法的劳动合同关系，不得因与服务人员间就劳动法律关系或在其他方面的任何争议或瑕疵影响其履行在本合同项下的义务。 </w:t>
      </w:r>
    </w:p>
    <w:p w14:paraId="3334FA8F">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第四条 甲方的权利</w:t>
      </w:r>
    </w:p>
    <w:p w14:paraId="101651C4">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1</w:t>
      </w:r>
      <w:r>
        <w:rPr>
          <w:rFonts w:hint="eastAsia" w:ascii="仿宋" w:hAnsi="仿宋" w:eastAsia="仿宋" w:cs="仿宋"/>
          <w:kern w:val="0"/>
          <w:sz w:val="24"/>
          <w:lang w:val="en-US" w:eastAsia="zh-CN"/>
        </w:rPr>
        <w:t>.</w:t>
      </w:r>
      <w:r>
        <w:rPr>
          <w:rFonts w:hint="eastAsia" w:ascii="仿宋" w:hAnsi="仿宋" w:eastAsia="仿宋" w:cs="仿宋"/>
          <w:kern w:val="0"/>
          <w:sz w:val="24"/>
        </w:rPr>
        <w:t>甲方有权享有乙方按照上述约定提供的服务。</w:t>
      </w:r>
    </w:p>
    <w:p w14:paraId="7CCFBDCE">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2</w:t>
      </w:r>
      <w:r>
        <w:rPr>
          <w:rFonts w:hint="eastAsia" w:ascii="仿宋" w:hAnsi="仿宋" w:eastAsia="仿宋" w:cs="仿宋"/>
          <w:kern w:val="0"/>
          <w:sz w:val="24"/>
          <w:lang w:val="en-US" w:eastAsia="zh-CN"/>
        </w:rPr>
        <w:t>.</w:t>
      </w:r>
      <w:r>
        <w:rPr>
          <w:rFonts w:hint="eastAsia" w:ascii="仿宋" w:hAnsi="仿宋" w:eastAsia="仿宋" w:cs="仿宋"/>
          <w:kern w:val="0"/>
          <w:sz w:val="24"/>
        </w:rPr>
        <w:t>甲方有权要求乙方提供符合本项目服务要求的人员，且提供的服务质量达到前述约定标准。如乙方违反协议约定，未达到服务质量要求的，甲方有权要求乙方限期改正，逾期未改正的或改正后仍给甲方造成损失的，乙方应承担相应的法律责任；</w:t>
      </w:r>
    </w:p>
    <w:p w14:paraId="365A43BD">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3</w:t>
      </w:r>
      <w:r>
        <w:rPr>
          <w:rFonts w:hint="eastAsia" w:ascii="仿宋" w:hAnsi="仿宋" w:eastAsia="仿宋" w:cs="仿宋"/>
          <w:kern w:val="0"/>
          <w:sz w:val="24"/>
          <w:lang w:val="en-US" w:eastAsia="zh-CN"/>
        </w:rPr>
        <w:t>.</w:t>
      </w:r>
      <w:r>
        <w:rPr>
          <w:rFonts w:hint="eastAsia" w:ascii="仿宋" w:hAnsi="仿宋" w:eastAsia="仿宋" w:cs="仿宋"/>
          <w:kern w:val="0"/>
          <w:sz w:val="24"/>
        </w:rPr>
        <w:t xml:space="preserve">甲方有权根据服务要求和标准考评乙方服务质量，如乙方提供的服务考评不合格或不符合约定的，甲方有权按照一定比例减少支付服务费用，具体减付比例结合乙方提供服务未达到约定的范围，严重程度、给甲方造成的损失情况等确定。          </w:t>
      </w:r>
    </w:p>
    <w:p w14:paraId="099B8903">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4</w:t>
      </w:r>
      <w:r>
        <w:rPr>
          <w:rFonts w:hint="eastAsia" w:ascii="仿宋" w:hAnsi="仿宋" w:eastAsia="仿宋" w:cs="仿宋"/>
          <w:kern w:val="0"/>
          <w:sz w:val="24"/>
          <w:lang w:val="en-US" w:eastAsia="zh-CN"/>
        </w:rPr>
        <w:t>.</w:t>
      </w:r>
      <w:r>
        <w:rPr>
          <w:rFonts w:hint="eastAsia" w:ascii="仿宋" w:hAnsi="仿宋" w:eastAsia="仿宋" w:cs="仿宋"/>
          <w:kern w:val="0"/>
          <w:sz w:val="24"/>
        </w:rPr>
        <w:t>除本合同约定的服务费用外，乙方不得向甲方及其甲方人员收取其他任何费用，如甲方发现乙方有此类行为，甲方有权要求乙方清退所收费用，退还利息并支付违约金；</w:t>
      </w:r>
    </w:p>
    <w:p w14:paraId="3D2B5C72">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5</w:t>
      </w:r>
      <w:r>
        <w:rPr>
          <w:rFonts w:hint="eastAsia" w:ascii="仿宋" w:hAnsi="仿宋" w:eastAsia="仿宋" w:cs="仿宋"/>
          <w:kern w:val="0"/>
          <w:sz w:val="24"/>
          <w:lang w:val="en-US" w:eastAsia="zh-CN"/>
        </w:rPr>
        <w:t>.</w:t>
      </w:r>
      <w:r>
        <w:rPr>
          <w:rFonts w:hint="eastAsia" w:ascii="仿宋" w:hAnsi="仿宋" w:eastAsia="仿宋" w:cs="仿宋"/>
          <w:kern w:val="0"/>
          <w:sz w:val="24"/>
        </w:rPr>
        <w:t>对乙方相关服务资料的所有权、使用权的约定：归甲方所有。乙方不得以任何借口留存，否则承担由此产生的一切法律和经济责任。未经甲方允许，任何单位和个人不得转让和使用本项目的相关内容。</w:t>
      </w:r>
    </w:p>
    <w:p w14:paraId="08FDF496">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第五条 甲方的义务</w:t>
      </w:r>
    </w:p>
    <w:p w14:paraId="43F8903E">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1</w:t>
      </w:r>
      <w:r>
        <w:rPr>
          <w:rFonts w:hint="eastAsia" w:ascii="仿宋" w:hAnsi="仿宋" w:eastAsia="仿宋" w:cs="仿宋"/>
          <w:kern w:val="0"/>
          <w:sz w:val="24"/>
          <w:lang w:val="en-US" w:eastAsia="zh-CN"/>
        </w:rPr>
        <w:t>.</w:t>
      </w:r>
      <w:r>
        <w:rPr>
          <w:rFonts w:hint="eastAsia" w:ascii="仿宋" w:hAnsi="仿宋" w:eastAsia="仿宋" w:cs="仿宋"/>
          <w:kern w:val="0"/>
          <w:sz w:val="24"/>
        </w:rPr>
        <w:t xml:space="preserve">在服务实施过程中，甲方应为乙方提供必要的工作便利与指导，配合乙方履行职责。 </w:t>
      </w:r>
    </w:p>
    <w:p w14:paraId="713F76BC">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2</w:t>
      </w:r>
      <w:r>
        <w:rPr>
          <w:rFonts w:hint="eastAsia" w:ascii="仿宋" w:hAnsi="仿宋" w:eastAsia="仿宋" w:cs="仿宋"/>
          <w:kern w:val="0"/>
          <w:sz w:val="24"/>
          <w:lang w:val="en-US" w:eastAsia="zh-CN"/>
        </w:rPr>
        <w:t>.</w:t>
      </w:r>
      <w:r>
        <w:rPr>
          <w:rFonts w:hint="eastAsia" w:ascii="仿宋" w:hAnsi="仿宋" w:eastAsia="仿宋" w:cs="仿宋"/>
          <w:kern w:val="0"/>
          <w:sz w:val="24"/>
        </w:rPr>
        <w:t>甲方不得将本合同的内容向甲乙双方以外的、与签订和履行本合同无关的任何第三方透露，不得泄露乙方的商业秘密（包括本合同及其附件和合同签订前的各项方案） 。</w:t>
      </w:r>
    </w:p>
    <w:p w14:paraId="1364B857">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第六条 任何一方违反或擅自变更本合同的约定，应当承担由此给对方造成的经济损失和相关责任。</w:t>
      </w:r>
    </w:p>
    <w:p w14:paraId="7A74A64F">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第七条甲方违约责任</w:t>
      </w:r>
    </w:p>
    <w:p w14:paraId="6F23B979">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1</w:t>
      </w:r>
      <w:r>
        <w:rPr>
          <w:rFonts w:hint="eastAsia" w:ascii="仿宋" w:hAnsi="仿宋" w:eastAsia="仿宋" w:cs="仿宋"/>
          <w:kern w:val="0"/>
          <w:sz w:val="24"/>
          <w:lang w:val="en-US" w:eastAsia="zh-CN"/>
        </w:rPr>
        <w:t>.</w:t>
      </w:r>
      <w:r>
        <w:rPr>
          <w:rFonts w:hint="eastAsia" w:ascii="仿宋" w:hAnsi="仿宋" w:eastAsia="仿宋" w:cs="仿宋"/>
          <w:kern w:val="0"/>
          <w:sz w:val="24"/>
        </w:rPr>
        <w:t>由于甲方的原因或因不可抗力的自然因素影响，则服务周期顺延。</w:t>
      </w:r>
    </w:p>
    <w:p w14:paraId="7A46DFCA">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2</w:t>
      </w:r>
      <w:r>
        <w:rPr>
          <w:rFonts w:hint="eastAsia" w:ascii="仿宋" w:hAnsi="仿宋" w:eastAsia="仿宋" w:cs="仿宋"/>
          <w:kern w:val="0"/>
          <w:sz w:val="24"/>
          <w:lang w:val="en-US" w:eastAsia="zh-CN"/>
        </w:rPr>
        <w:t>.</w:t>
      </w:r>
      <w:r>
        <w:rPr>
          <w:rFonts w:hint="eastAsia" w:ascii="仿宋" w:hAnsi="仿宋" w:eastAsia="仿宋" w:cs="仿宋"/>
          <w:kern w:val="0"/>
          <w:sz w:val="24"/>
        </w:rPr>
        <w:t xml:space="preserve">对于乙方提供的资料以及属于乙方的内容，甲方有义务保密，不得向第三方提供或用于本合同以外的项目，否则乙方有权要求甲方按本合同项目款总额的20%赔偿损失。 </w:t>
      </w:r>
    </w:p>
    <w:p w14:paraId="79DB132A">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第八条乙方违约责任</w:t>
      </w:r>
    </w:p>
    <w:p w14:paraId="3C60316B">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1</w:t>
      </w:r>
      <w:r>
        <w:rPr>
          <w:rFonts w:hint="eastAsia" w:ascii="仿宋" w:hAnsi="仿宋" w:eastAsia="仿宋" w:cs="仿宋"/>
          <w:kern w:val="0"/>
          <w:sz w:val="24"/>
          <w:lang w:val="en-US" w:eastAsia="zh-CN"/>
        </w:rPr>
        <w:t>.</w:t>
      </w:r>
      <w:r>
        <w:rPr>
          <w:rFonts w:hint="eastAsia" w:ascii="仿宋" w:hAnsi="仿宋" w:eastAsia="仿宋" w:cs="仿宋"/>
          <w:kern w:val="0"/>
          <w:sz w:val="24"/>
        </w:rPr>
        <w:t>合同签订后，如乙方擅自中途停止或解除合同，乙方应向甲方双倍返还定金。没有约定定金的，乙方向甲方赔偿服务价款。</w:t>
      </w:r>
    </w:p>
    <w:p w14:paraId="0A47B4CE">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2</w:t>
      </w:r>
      <w:r>
        <w:rPr>
          <w:rFonts w:hint="eastAsia" w:ascii="仿宋" w:hAnsi="仿宋" w:eastAsia="仿宋" w:cs="仿宋"/>
          <w:kern w:val="0"/>
          <w:sz w:val="24"/>
          <w:lang w:val="en-US" w:eastAsia="zh-CN"/>
        </w:rPr>
        <w:t>.</w:t>
      </w:r>
      <w:r>
        <w:rPr>
          <w:rFonts w:hint="eastAsia" w:ascii="仿宋" w:hAnsi="仿宋" w:eastAsia="仿宋" w:cs="仿宋"/>
          <w:kern w:val="0"/>
          <w:sz w:val="24"/>
        </w:rPr>
        <w:t>在甲方提供了必要的工作、生活条件，并且保证了项目款按时到位，乙方未能按合同规定的日期提供服务时，应向甲方赔偿拖期损失费，每天的拖期损失费按合同约定的项目总价款。</w:t>
      </w:r>
    </w:p>
    <w:p w14:paraId="6FBA6ABB">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3</w:t>
      </w:r>
      <w:r>
        <w:rPr>
          <w:rFonts w:hint="eastAsia" w:ascii="仿宋" w:hAnsi="仿宋" w:eastAsia="仿宋" w:cs="仿宋"/>
          <w:kern w:val="0"/>
          <w:sz w:val="24"/>
          <w:lang w:val="en-US" w:eastAsia="zh-CN"/>
        </w:rPr>
        <w:t>.</w:t>
      </w:r>
      <w:r>
        <w:rPr>
          <w:rFonts w:hint="eastAsia" w:ascii="仿宋" w:hAnsi="仿宋" w:eastAsia="仿宋" w:cs="仿宋"/>
          <w:kern w:val="0"/>
          <w:sz w:val="24"/>
        </w:rPr>
        <w:t xml:space="preserve">因天气、交通、政府行为、甲方提供的资料不准确等客观原因造成的服务周期拖期，乙方不承担赔偿责任。 </w:t>
      </w:r>
    </w:p>
    <w:p w14:paraId="239686DD">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4</w:t>
      </w:r>
      <w:r>
        <w:rPr>
          <w:rFonts w:hint="eastAsia" w:ascii="仿宋" w:hAnsi="仿宋" w:eastAsia="仿宋" w:cs="仿宋"/>
          <w:kern w:val="0"/>
          <w:sz w:val="24"/>
          <w:lang w:val="en-US" w:eastAsia="zh-CN"/>
        </w:rPr>
        <w:t>.</w:t>
      </w:r>
      <w:r>
        <w:rPr>
          <w:rFonts w:hint="eastAsia" w:ascii="仿宋" w:hAnsi="仿宋" w:eastAsia="仿宋" w:cs="仿宋"/>
          <w:kern w:val="0"/>
          <w:sz w:val="24"/>
        </w:rPr>
        <w:t>服务实施过程中，乙方未按磋商响应文件约定配备服务人员或乙方派驻服务力量无法胜任项目实施要求的，甲方有权提出增加人员和充实技术力量，乙方应立即安排实施，其费用被认为已含在合同价格之中。如乙方拒绝增加人员或充实技术力量，甲方有权利解除合同，乙方应承担由此给甲方造成的经济损失。</w:t>
      </w:r>
    </w:p>
    <w:p w14:paraId="7394DD23">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5</w:t>
      </w:r>
      <w:r>
        <w:rPr>
          <w:rFonts w:hint="eastAsia" w:ascii="仿宋" w:hAnsi="仿宋" w:eastAsia="仿宋" w:cs="仿宋"/>
          <w:kern w:val="0"/>
          <w:sz w:val="24"/>
          <w:lang w:val="en-US" w:eastAsia="zh-CN"/>
        </w:rPr>
        <w:t>.</w:t>
      </w:r>
      <w:r>
        <w:rPr>
          <w:rFonts w:hint="eastAsia" w:ascii="仿宋" w:hAnsi="仿宋" w:eastAsia="仿宋" w:cs="仿宋"/>
          <w:kern w:val="0"/>
          <w:sz w:val="24"/>
        </w:rPr>
        <w:t>乙方有责任按甲方要求提交项目资料。如乙方未能按规定的服务周期提供服务，每延误一天，应付逾期违约金人民币（但由于受天气等不可抗力的自然因素影响，则工期顺延），逾期10天以上的，甲方除有权终止履行合同外，乙方应承担因延期造成的损失。同时，甲方有权根据乙方所承担服务的质量是否符合要求而对服务的内容进行调整。</w:t>
      </w:r>
    </w:p>
    <w:p w14:paraId="5CB4D626">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6</w:t>
      </w:r>
      <w:r>
        <w:rPr>
          <w:rFonts w:hint="eastAsia" w:ascii="仿宋" w:hAnsi="仿宋" w:eastAsia="仿宋" w:cs="仿宋"/>
          <w:kern w:val="0"/>
          <w:sz w:val="24"/>
          <w:lang w:val="en-US" w:eastAsia="zh-CN"/>
        </w:rPr>
        <w:t>.</w:t>
      </w:r>
      <w:r>
        <w:rPr>
          <w:rFonts w:hint="eastAsia" w:ascii="仿宋" w:hAnsi="仿宋" w:eastAsia="仿宋" w:cs="仿宋"/>
          <w:kern w:val="0"/>
          <w:sz w:val="24"/>
        </w:rPr>
        <w:t>乙方提供的服务质量不合格的，乙方应负责无偿予以采取补救措施，以达到质量要求。因服务最终不符合合同要求（而又非甲方提供的资料原因所致）造成后果时，乙方应对因此造成的直接损失负赔偿责任，并承担相应的法律责任（由于甲方提供的资料原因产生的责任由甲方自己负责）。</w:t>
      </w:r>
    </w:p>
    <w:p w14:paraId="54D4F940">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7</w:t>
      </w:r>
      <w:r>
        <w:rPr>
          <w:rFonts w:hint="eastAsia" w:ascii="仿宋" w:hAnsi="仿宋" w:eastAsia="仿宋" w:cs="仿宋"/>
          <w:kern w:val="0"/>
          <w:sz w:val="24"/>
          <w:lang w:val="en-US" w:eastAsia="zh-CN"/>
        </w:rPr>
        <w:t>.</w:t>
      </w:r>
      <w:r>
        <w:rPr>
          <w:rFonts w:hint="eastAsia" w:ascii="仿宋" w:hAnsi="仿宋" w:eastAsia="仿宋" w:cs="仿宋"/>
          <w:kern w:val="0"/>
          <w:sz w:val="24"/>
        </w:rPr>
        <w:t>在合同期内和合同终止后，乙方应负责所有资料的保密，非经甲方书面认可，不得向任何人以任何方式提供任何资料。严格按甲方要求程序传递各种资料，否则甲方有权单方解除合同，并追回所付项目款。</w:t>
      </w:r>
    </w:p>
    <w:p w14:paraId="31CAFD2C">
      <w:pPr>
        <w:keepNext w:val="0"/>
        <w:keepLines w:val="0"/>
        <w:pageBreakBefore w:val="0"/>
        <w:kinsoku/>
        <w:wordWrap/>
        <w:overflowPunct/>
        <w:topLinePunct w:val="0"/>
        <w:autoSpaceDE/>
        <w:autoSpaceDN/>
        <w:bidi w:val="0"/>
        <w:adjustRightInd/>
        <w:snapToGrid/>
        <w:spacing w:line="440" w:lineRule="exact"/>
        <w:ind w:firstLine="616" w:firstLineChars="257"/>
        <w:textAlignment w:val="auto"/>
        <w:rPr>
          <w:rFonts w:hint="eastAsia" w:ascii="仿宋" w:hAnsi="仿宋" w:eastAsia="仿宋" w:cs="仿宋"/>
          <w:kern w:val="0"/>
          <w:sz w:val="24"/>
        </w:rPr>
      </w:pPr>
      <w:r>
        <w:rPr>
          <w:rFonts w:hint="eastAsia" w:ascii="仿宋" w:hAnsi="仿宋" w:eastAsia="仿宋" w:cs="仿宋"/>
          <w:kern w:val="0"/>
          <w:sz w:val="24"/>
        </w:rPr>
        <w:t>8</w:t>
      </w:r>
      <w:r>
        <w:rPr>
          <w:rFonts w:hint="eastAsia" w:ascii="仿宋" w:hAnsi="仿宋" w:eastAsia="仿宋" w:cs="仿宋"/>
          <w:kern w:val="0"/>
          <w:sz w:val="24"/>
          <w:lang w:val="en-US" w:eastAsia="zh-CN"/>
        </w:rPr>
        <w:t>.</w:t>
      </w:r>
      <w:r>
        <w:rPr>
          <w:rFonts w:hint="eastAsia" w:ascii="仿宋" w:hAnsi="仿宋" w:eastAsia="仿宋" w:cs="仿宋"/>
          <w:kern w:val="0"/>
          <w:sz w:val="24"/>
        </w:rPr>
        <w:t xml:space="preserve">乙方不得将本项目的任何部分转包或分包给其他任何单位和个人。若擅自转包或分包本合同标的，甲方有权解除合同，并可要求乙方偿付预算30%的违约金，同时追究其法律责任。 </w:t>
      </w:r>
    </w:p>
    <w:p w14:paraId="2B1DBCB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第九条 甲乙任何一方按照本合同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p>
    <w:p w14:paraId="1A7EC94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 xml:space="preserve">第十条 因执行本合同发生的一切争议，双方应首先友好协商解决。经协商不能解决，应向甲方所在地人民法院提起诉讼。在诉讼期间，除必须在诉讼过程中进行解决的问题外，合同其余部分应继续履行。 </w:t>
      </w:r>
    </w:p>
    <w:p w14:paraId="528B925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 xml:space="preserve">第十一条 甲、乙双方有一方有正当理由要求变更本合同，须提前一个月以书面形式通知对方并协商解决，双方应签署变更合同。 </w:t>
      </w:r>
    </w:p>
    <w:p w14:paraId="5728EB76">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 xml:space="preserve">第十二条 本合同期满双方不再续约或者因一方违约导致本合同无法履行，则本合同终止。但合同的终止不得损害第三方的利益，双方应为此做出合理安排。 </w:t>
      </w:r>
    </w:p>
    <w:p w14:paraId="794B639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第十三条 未经对方同意，甲乙任何一方不得将本合同部分或全部权利和义务转让给第三方。</w:t>
      </w:r>
    </w:p>
    <w:p w14:paraId="3AE4AC7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第十四条 本合同中涉及的所有“通知”、“同意”、“确认” 等事项均应以书面形式做出，并作为依据。</w:t>
      </w:r>
    </w:p>
    <w:p w14:paraId="38F366BB">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0"/>
          <w:sz w:val="24"/>
          <w:lang w:val="en-US" w:eastAsia="zh-Hans"/>
        </w:rPr>
      </w:pPr>
      <w:r>
        <w:rPr>
          <w:rFonts w:hint="eastAsia" w:ascii="仿宋" w:hAnsi="仿宋" w:eastAsia="仿宋" w:cs="仿宋"/>
          <w:kern w:val="0"/>
          <w:sz w:val="24"/>
          <w:lang w:val="en-US" w:eastAsia="zh-CN"/>
        </w:rPr>
        <w:t>第十五条 本合同有关附件及补充合同是本合同不可分割的组成部分，与本合同具有同等法律效力；本合同未尽事宜，双方另行协商并签署补充合同，作为本合同的附件，具有同等法律效力。</w:t>
      </w:r>
    </w:p>
    <w:sectPr>
      <w:footerReference r:id="rId3" w:type="default"/>
      <w:pgSz w:w="11906" w:h="16838"/>
      <w:pgMar w:top="1440" w:right="1800" w:bottom="1440" w:left="1800" w:header="851" w:footer="992" w:gutter="0"/>
      <w:pgNumType w:fmt="decimal"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9478D">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6F74C7">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06F74C7">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C5F5A6"/>
    <w:multiLevelType w:val="singleLevel"/>
    <w:tmpl w:val="1DC5F5A6"/>
    <w:lvl w:ilvl="0" w:tentative="0">
      <w:start w:val="1"/>
      <w:numFmt w:val="decimal"/>
      <w:lvlText w:val="%1."/>
      <w:lvlJc w:val="left"/>
      <w:pPr>
        <w:ind w:left="425" w:hanging="425"/>
      </w:pPr>
      <w:rPr>
        <w:rFonts w:hint="default"/>
        <w:b/>
        <w:bCs/>
      </w:rPr>
    </w:lvl>
  </w:abstractNum>
  <w:abstractNum w:abstractNumId="1">
    <w:nsid w:val="46EC3B4E"/>
    <w:multiLevelType w:val="singleLevel"/>
    <w:tmpl w:val="46EC3B4E"/>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6881F2C"/>
    <w:rsid w:val="4F9457F1"/>
    <w:rsid w:val="53B52B8D"/>
    <w:rsid w:val="77F79321"/>
    <w:rsid w:val="7C0A5AF8"/>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toc 3"/>
    <w:basedOn w:val="1"/>
    <w:next w:val="1"/>
    <w:qFormat/>
    <w:uiPriority w:val="0"/>
    <w:pPr>
      <w:ind w:left="840" w:leftChars="400"/>
    </w:pPr>
  </w:style>
  <w:style w:type="paragraph" w:styleId="4">
    <w:name w:val="Plain Text"/>
    <w:basedOn w:val="1"/>
    <w:qFormat/>
    <w:uiPriority w:val="0"/>
    <w:rPr>
      <w:rFonts w:ascii="宋体" w:hAnsi="Courier New"/>
      <w:szCs w:val="20"/>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null3"/>
    <w:hidden/>
    <w:qFormat/>
    <w:uiPriority w:val="0"/>
    <w:rPr>
      <w:rFonts w:hint="eastAsia" w:asciiTheme="minorHAnsi" w:hAnsiTheme="minorHAnsi" w:eastAsiaTheme="minorEastAsia" w:cstheme="minorBidi"/>
      <w:lang w:val="en-US" w:eastAsia="zh-Hans"/>
    </w:rPr>
  </w:style>
  <w:style w:type="paragraph" w:customStyle="1" w:styleId="14">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4117</Words>
  <Characters>4575</Characters>
  <Lines>0</Lines>
  <Paragraphs>0</Paragraphs>
  <TotalTime>0</TotalTime>
  <ScaleCrop>false</ScaleCrop>
  <LinksUpToDate>false</LinksUpToDate>
  <CharactersWithSpaces>4651</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叶染</cp:lastModifiedBy>
  <cp:lastPrinted>2026-05-29T06:44:00Z</cp:lastPrinted>
  <dcterms:modified xsi:type="dcterms:W3CDTF">2026-06-09T06:54:27Z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KSOTemplateDocerSaveRecord">
    <vt:lpwstr>eyJoZGlkIjoiYjZhZDExNDQ2YTJkMzgzYzNjNDU3ZmM1YmFhMDMzMGQiLCJ1c2VySWQiOiI5Njc5NTM0ODMifQ==</vt:lpwstr>
  </property>
  <property fmtid="{D5CDD505-2E9C-101B-9397-08002B2CF9AE}" pid="4" name="ICV">
    <vt:lpwstr>38F2E88170994E398CB77BC710CE038C_12</vt:lpwstr>
  </property>
</Properties>
</file>