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2B2075">
      <w:pPr>
        <w:spacing w:line="360" w:lineRule="auto"/>
        <w:jc w:val="center"/>
        <w:outlineLvl w:val="0"/>
      </w:pPr>
      <w:r>
        <w:rPr>
          <w:rStyle w:val="6"/>
          <w:rFonts w:hint="eastAsia" w:ascii="仿宋" w:hAnsi="仿宋" w:eastAsia="仿宋" w:cs="仿宋"/>
          <w:color w:val="000000"/>
        </w:rPr>
        <w:t>采购内容及技术要求</w:t>
      </w:r>
    </w:p>
    <w:p w14:paraId="4F21B6DC">
      <w:pPr>
        <w:pStyle w:val="3"/>
        <w:spacing w:before="251" w:line="222" w:lineRule="auto"/>
        <w:ind w:left="640"/>
        <w:outlineLvl w:val="1"/>
        <w:rPr>
          <w:rFonts w:hint="eastAsia" w:ascii="仿宋" w:hAnsi="仿宋" w:eastAsia="仿宋" w:cs="仿宋"/>
          <w:sz w:val="24"/>
          <w:szCs w:val="24"/>
        </w:rPr>
      </w:pPr>
      <w:bookmarkStart w:id="0" w:name="3.费用测算表"/>
      <w:bookmarkEnd w:id="0"/>
      <w:r>
        <w:rPr>
          <w:rFonts w:hint="eastAsia" w:ascii="仿宋" w:hAnsi="仿宋" w:eastAsia="仿宋" w:cs="仿宋"/>
          <w:b/>
          <w:bCs/>
          <w:spacing w:val="-6"/>
          <w:sz w:val="24"/>
          <w:szCs w:val="24"/>
        </w:rPr>
        <w:t>一、服务内容</w:t>
      </w:r>
    </w:p>
    <w:p w14:paraId="470815F6">
      <w:pPr>
        <w:pStyle w:val="3"/>
        <w:spacing w:before="239" w:line="319" w:lineRule="auto"/>
        <w:ind w:right="205" w:firstLine="477"/>
        <w:rPr>
          <w:rFonts w:hint="eastAsia" w:ascii="仿宋" w:hAnsi="仿宋" w:eastAsia="仿宋" w:cs="仿宋"/>
          <w:sz w:val="24"/>
          <w:szCs w:val="24"/>
        </w:rPr>
      </w:pPr>
      <w:r>
        <w:rPr>
          <w:rFonts w:hint="eastAsia" w:ascii="仿宋" w:hAnsi="仿宋" w:eastAsia="仿宋" w:cs="仿宋"/>
          <w:spacing w:val="-1"/>
          <w:sz w:val="24"/>
          <w:szCs w:val="24"/>
        </w:rPr>
        <w:t>本次服务项目主要工作内容包括但不限于西咸新区第二初级中学校园公共环境卫生、治安秩序维护、公建设施设备维修保养及客户服务等内容，具体详见下表。</w:t>
      </w:r>
    </w:p>
    <w:tbl>
      <w:tblPr>
        <w:tblStyle w:val="7"/>
        <w:tblW w:w="502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82"/>
        <w:gridCol w:w="1228"/>
        <w:gridCol w:w="6544"/>
      </w:tblGrid>
      <w:tr w14:paraId="68BB1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348" w:type="pct"/>
            <w:vAlign w:val="center"/>
          </w:tcPr>
          <w:p w14:paraId="16BB30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rPr>
            </w:pPr>
            <w:r>
              <w:rPr>
                <w:rFonts w:hint="eastAsia" w:ascii="仿宋" w:hAnsi="仿宋" w:eastAsia="仿宋" w:cs="仿宋"/>
              </w:rPr>
              <w:t>序号</w:t>
            </w:r>
          </w:p>
        </w:tc>
        <w:tc>
          <w:tcPr>
            <w:tcW w:w="735" w:type="pct"/>
            <w:vAlign w:val="center"/>
          </w:tcPr>
          <w:p w14:paraId="73448FA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rPr>
            </w:pPr>
            <w:r>
              <w:rPr>
                <w:rFonts w:hint="eastAsia" w:ascii="仿宋" w:hAnsi="仿宋" w:eastAsia="仿宋" w:cs="仿宋"/>
              </w:rPr>
              <w:t>类别</w:t>
            </w:r>
          </w:p>
        </w:tc>
        <w:tc>
          <w:tcPr>
            <w:tcW w:w="3915" w:type="pct"/>
            <w:vAlign w:val="center"/>
          </w:tcPr>
          <w:p w14:paraId="5B08591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rPr>
            </w:pPr>
            <w:r>
              <w:rPr>
                <w:rFonts w:hint="eastAsia" w:ascii="仿宋" w:hAnsi="仿宋" w:eastAsia="仿宋" w:cs="仿宋"/>
              </w:rPr>
              <w:t>备注</w:t>
            </w:r>
          </w:p>
        </w:tc>
      </w:tr>
      <w:tr w14:paraId="3774F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348" w:type="pct"/>
            <w:vAlign w:val="center"/>
          </w:tcPr>
          <w:p w14:paraId="7F55765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rPr>
            </w:pPr>
            <w:r>
              <w:rPr>
                <w:rFonts w:hint="eastAsia" w:ascii="仿宋" w:hAnsi="仿宋" w:eastAsia="仿宋" w:cs="仿宋"/>
              </w:rPr>
              <w:t>1</w:t>
            </w:r>
          </w:p>
        </w:tc>
        <w:tc>
          <w:tcPr>
            <w:tcW w:w="735" w:type="pct"/>
            <w:vAlign w:val="center"/>
          </w:tcPr>
          <w:p w14:paraId="2C3AB3B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rPr>
            </w:pPr>
            <w:r>
              <w:rPr>
                <w:rFonts w:hint="eastAsia" w:ascii="仿宋" w:hAnsi="仿宋" w:eastAsia="仿宋" w:cs="仿宋"/>
              </w:rPr>
              <w:t>总建筑面积</w:t>
            </w:r>
          </w:p>
        </w:tc>
        <w:tc>
          <w:tcPr>
            <w:tcW w:w="3915" w:type="pct"/>
            <w:vAlign w:val="center"/>
          </w:tcPr>
          <w:p w14:paraId="7619F04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rPr>
            </w:pPr>
            <w:r>
              <w:rPr>
                <w:rFonts w:hint="eastAsia" w:ascii="仿宋" w:hAnsi="仿宋" w:eastAsia="仿宋" w:cs="仿宋"/>
              </w:rPr>
              <w:t>我校总建筑面积34743.79㎡ ，其中地上建筑面积 25295.31 ㎡ ，地下建筑面积 9448.48 ㎡。</w:t>
            </w:r>
          </w:p>
        </w:tc>
      </w:tr>
      <w:tr w14:paraId="0ADFC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348" w:type="pct"/>
            <w:vAlign w:val="center"/>
          </w:tcPr>
          <w:p w14:paraId="3B709D1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rPr>
            </w:pPr>
            <w:r>
              <w:rPr>
                <w:rFonts w:hint="eastAsia" w:ascii="仿宋" w:hAnsi="仿宋" w:eastAsia="仿宋" w:cs="仿宋"/>
              </w:rPr>
              <w:t>2</w:t>
            </w:r>
          </w:p>
        </w:tc>
        <w:tc>
          <w:tcPr>
            <w:tcW w:w="735" w:type="pct"/>
            <w:vAlign w:val="center"/>
          </w:tcPr>
          <w:p w14:paraId="3A47EDA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rPr>
            </w:pPr>
            <w:r>
              <w:rPr>
                <w:rFonts w:hint="eastAsia" w:ascii="仿宋" w:hAnsi="仿宋" w:eastAsia="仿宋" w:cs="仿宋"/>
              </w:rPr>
              <w:t>学校建筑分布</w:t>
            </w:r>
          </w:p>
        </w:tc>
        <w:tc>
          <w:tcPr>
            <w:tcW w:w="3915" w:type="pct"/>
            <w:vAlign w:val="center"/>
          </w:tcPr>
          <w:p w14:paraId="1D2B107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rPr>
            </w:pPr>
            <w:r>
              <w:rPr>
                <w:rFonts w:hint="eastAsia" w:ascii="仿宋" w:hAnsi="仿宋" w:eastAsia="仿宋" w:cs="仿宋"/>
              </w:rPr>
              <w:t>我校由综合楼（含教室、实验室、图书馆、阶梯教室、报告厅、办公室、会议室、消防监控室、功能部室），公寓楼（女生公寓、男生公寓、教师公寓），食堂、风雨操场、游泳馆、操场（看台、300米跑道、8人制足球场、篮球场），学校大门（南门及值班室、东门、消防门）、消防通道、园路、公共区域、地下车库及设备间等建筑组成</w:t>
            </w:r>
          </w:p>
        </w:tc>
      </w:tr>
      <w:tr w14:paraId="124B8D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348" w:type="pct"/>
            <w:vAlign w:val="center"/>
          </w:tcPr>
          <w:p w14:paraId="406B193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rPr>
            </w:pPr>
            <w:r>
              <w:rPr>
                <w:rFonts w:hint="eastAsia" w:ascii="仿宋" w:hAnsi="仿宋" w:eastAsia="仿宋" w:cs="仿宋"/>
              </w:rPr>
              <w:t>3</w:t>
            </w:r>
          </w:p>
        </w:tc>
        <w:tc>
          <w:tcPr>
            <w:tcW w:w="735" w:type="pct"/>
            <w:vAlign w:val="center"/>
          </w:tcPr>
          <w:p w14:paraId="7B19F69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rPr>
            </w:pPr>
            <w:r>
              <w:rPr>
                <w:rFonts w:hint="eastAsia" w:ascii="仿宋" w:hAnsi="仿宋" w:eastAsia="仿宋" w:cs="仿宋"/>
              </w:rPr>
              <w:t>物业服务范围及面积</w:t>
            </w:r>
          </w:p>
        </w:tc>
        <w:tc>
          <w:tcPr>
            <w:tcW w:w="3915" w:type="pct"/>
            <w:vAlign w:val="center"/>
          </w:tcPr>
          <w:p w14:paraId="38EED7D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rPr>
            </w:pPr>
            <w:r>
              <w:rPr>
                <w:rFonts w:hint="eastAsia" w:ascii="仿宋" w:hAnsi="仿宋" w:eastAsia="仿宋" w:cs="仿宋"/>
              </w:rPr>
              <w:t>服务范围包含：综合楼（A、B、C、D、E 区），1-5 层（含教室、实验室、 图书馆、阶梯教室、报告厅、办公室、会议室、消防监控室、功能部室），公寓楼 1-5 层（女生公寓、男生公寓、教师公寓），食堂、风雨操场、游泳馆、操场（看台、300 米跑道、8 人制足球场、篮球场），学校大门（南门及值班室、东门、消防门）、消防通道、园路、共公共区域、地下车库及设备间等建筑</w:t>
            </w:r>
          </w:p>
          <w:p w14:paraId="27F6576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rPr>
            </w:pPr>
            <w:r>
              <w:rPr>
                <w:rFonts w:hint="eastAsia" w:ascii="仿宋" w:hAnsi="仿宋" w:eastAsia="仿宋" w:cs="仿宋"/>
              </w:rPr>
              <w:t>室内室外服务面积约47236.29㎡。其中综合楼（A、B、C、D、E区），1-5层（含教室、实验室、图书馆、阶梯教室、报告厅、办公室、会议室、消防监控室、功能部室）15618.67㎡ ，公寓楼1-5层（女生公寓、男生公寓、教师公寓）4435㎡ ，食堂1440.39 ㎡ 、风雨操场1440.39㎡ 、游泳馆915.2㎡ 、操场（看台、300米跑道、8人制足球场、篮球场）8894㎡，学校大门（南门及值班室、东门、消防门）169.16㎡、消防通道、园路公共区域4875㎡ 、地下车库及设备间9448.48㎡</w:t>
            </w:r>
          </w:p>
        </w:tc>
      </w:tr>
      <w:tr w14:paraId="1D5A27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348" w:type="pct"/>
            <w:shd w:val="clear" w:color="auto" w:fill="auto"/>
            <w:vAlign w:val="top"/>
          </w:tcPr>
          <w:p w14:paraId="782FC3C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lang w:val="en-US" w:eastAsia="en-US"/>
              </w:rPr>
            </w:pPr>
            <w:r>
              <w:rPr>
                <w:rFonts w:hint="eastAsia" w:ascii="仿宋" w:hAnsi="仿宋" w:eastAsia="仿宋" w:cs="仿宋"/>
              </w:rPr>
              <w:t>4</w:t>
            </w:r>
          </w:p>
        </w:tc>
        <w:tc>
          <w:tcPr>
            <w:tcW w:w="735" w:type="pct"/>
            <w:shd w:val="clear" w:color="auto" w:fill="auto"/>
            <w:vAlign w:val="top"/>
          </w:tcPr>
          <w:p w14:paraId="22DD263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lang w:val="en-US" w:eastAsia="en-US"/>
              </w:rPr>
            </w:pPr>
            <w:r>
              <w:rPr>
                <w:rFonts w:hint="eastAsia" w:ascii="仿宋" w:hAnsi="仿宋" w:eastAsia="仿宋" w:cs="仿宋"/>
              </w:rPr>
              <w:t>物业服务人员配置要求</w:t>
            </w:r>
          </w:p>
        </w:tc>
        <w:tc>
          <w:tcPr>
            <w:tcW w:w="3915" w:type="pct"/>
            <w:shd w:val="clear" w:color="auto" w:fill="auto"/>
            <w:vAlign w:val="top"/>
          </w:tcPr>
          <w:p w14:paraId="1B8F18C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lang w:val="en-US" w:eastAsia="en-US"/>
              </w:rPr>
            </w:pPr>
            <w:r>
              <w:rPr>
                <w:rFonts w:hint="eastAsia" w:ascii="仿宋" w:hAnsi="仿宋" w:eastAsia="仿宋" w:cs="仿宋"/>
              </w:rPr>
              <w:t>为该项目最多配置专职物业服务人数为18人，其中物业经理1人，消防和安全值班2人，保洁8人，水电工1人，园林1人，安保5人。维修人员包括但不限于暖通、给排水、高低压配电等专业技术人员。</w:t>
            </w:r>
          </w:p>
        </w:tc>
      </w:tr>
      <w:tr w14:paraId="2CB003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348" w:type="pct"/>
            <w:shd w:val="clear" w:color="auto" w:fill="auto"/>
            <w:vAlign w:val="top"/>
          </w:tcPr>
          <w:p w14:paraId="2BCCD03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lang w:val="en-US" w:eastAsia="en-US"/>
              </w:rPr>
            </w:pPr>
            <w:r>
              <w:rPr>
                <w:rFonts w:hint="eastAsia" w:ascii="仿宋" w:hAnsi="仿宋" w:eastAsia="仿宋" w:cs="仿宋"/>
              </w:rPr>
              <w:t>5</w:t>
            </w:r>
          </w:p>
        </w:tc>
        <w:tc>
          <w:tcPr>
            <w:tcW w:w="735" w:type="pct"/>
            <w:shd w:val="clear" w:color="auto" w:fill="auto"/>
            <w:vAlign w:val="top"/>
          </w:tcPr>
          <w:p w14:paraId="51BCA1F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lang w:val="en-US" w:eastAsia="en-US"/>
              </w:rPr>
            </w:pPr>
            <w:r>
              <w:rPr>
                <w:rFonts w:hint="eastAsia" w:ascii="仿宋" w:hAnsi="仿宋" w:eastAsia="仿宋" w:cs="仿宋"/>
              </w:rPr>
              <w:t>物业服务团队基本要求</w:t>
            </w:r>
          </w:p>
        </w:tc>
        <w:tc>
          <w:tcPr>
            <w:tcW w:w="3915" w:type="pct"/>
            <w:shd w:val="clear" w:color="auto" w:fill="auto"/>
            <w:vAlign w:val="top"/>
          </w:tcPr>
          <w:p w14:paraId="6FB6D1E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lang w:val="en-US" w:eastAsia="en-US"/>
              </w:rPr>
            </w:pPr>
            <w:r>
              <w:rPr>
                <w:rFonts w:hint="eastAsia" w:ascii="仿宋" w:hAnsi="仿宋" w:eastAsia="仿宋" w:cs="仿宋"/>
              </w:rPr>
              <w:t>要求身体健康，不得有心脑血管类、精神类、传染类以及癫痫等其他影响工作正常开展的疾病。无犯罪史及违法行为记录，成交供应商在与采购人签订服务合同时须同时提供服务人员的无犯罪证明、身份证、保安证（仅安保人员提供）等。年龄区间要求20岁至50岁。</w:t>
            </w:r>
          </w:p>
        </w:tc>
      </w:tr>
      <w:tr w14:paraId="76AE24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348" w:type="pct"/>
            <w:shd w:val="clear" w:color="auto" w:fill="auto"/>
            <w:vAlign w:val="top"/>
          </w:tcPr>
          <w:p w14:paraId="60C064F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lang w:val="en-US" w:eastAsia="zh-CN"/>
              </w:rPr>
            </w:pPr>
            <w:r>
              <w:rPr>
                <w:rFonts w:hint="eastAsia" w:ascii="仿宋" w:hAnsi="仿宋" w:eastAsia="仿宋" w:cs="仿宋"/>
                <w:lang w:val="en-US" w:eastAsia="zh-CN"/>
              </w:rPr>
              <w:t>6</w:t>
            </w:r>
          </w:p>
        </w:tc>
        <w:tc>
          <w:tcPr>
            <w:tcW w:w="735" w:type="pct"/>
            <w:shd w:val="clear" w:color="auto" w:fill="auto"/>
            <w:vAlign w:val="top"/>
          </w:tcPr>
          <w:p w14:paraId="7C79D2A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rPr>
            </w:pPr>
            <w:r>
              <w:rPr>
                <w:rFonts w:hint="eastAsia" w:ascii="仿宋" w:hAnsi="仿宋" w:eastAsia="仿宋" w:cs="仿宋"/>
              </w:rPr>
              <w:t>公共区域保洁</w:t>
            </w:r>
          </w:p>
        </w:tc>
        <w:tc>
          <w:tcPr>
            <w:tcW w:w="3915" w:type="pct"/>
            <w:shd w:val="clear" w:color="auto" w:fill="auto"/>
            <w:vAlign w:val="top"/>
          </w:tcPr>
          <w:p w14:paraId="0508A9F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lang w:val="en-US" w:eastAsia="en-US"/>
              </w:rPr>
            </w:pPr>
            <w:r>
              <w:rPr>
                <w:rFonts w:hint="eastAsia" w:ascii="仿宋" w:hAnsi="仿宋" w:eastAsia="仿宋" w:cs="仿宋"/>
              </w:rPr>
              <w:t>为我校提供服务区域内的日常保洁服务，包括但不限于公共区域和室内保洁，确保工作时间内服务区域内无垃圾堆积，地面、家具表面等无灰尘。</w:t>
            </w:r>
          </w:p>
        </w:tc>
      </w:tr>
      <w:tr w14:paraId="15B2E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348" w:type="pct"/>
            <w:shd w:val="clear" w:color="auto" w:fill="auto"/>
            <w:vAlign w:val="top"/>
          </w:tcPr>
          <w:p w14:paraId="010A3A6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lang w:val="en-US" w:eastAsia="zh-CN"/>
              </w:rPr>
            </w:pPr>
            <w:r>
              <w:rPr>
                <w:rFonts w:hint="eastAsia" w:ascii="仿宋" w:hAnsi="仿宋" w:eastAsia="仿宋" w:cs="仿宋"/>
                <w:lang w:val="en-US" w:eastAsia="zh-CN"/>
              </w:rPr>
              <w:t>7</w:t>
            </w:r>
          </w:p>
        </w:tc>
        <w:tc>
          <w:tcPr>
            <w:tcW w:w="735" w:type="pct"/>
            <w:shd w:val="clear" w:color="auto" w:fill="auto"/>
            <w:vAlign w:val="top"/>
          </w:tcPr>
          <w:p w14:paraId="572ED3E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rPr>
            </w:pPr>
            <w:r>
              <w:rPr>
                <w:rFonts w:hint="eastAsia" w:ascii="仿宋" w:hAnsi="仿宋" w:eastAsia="仿宋" w:cs="仿宋"/>
              </w:rPr>
              <w:t>秩序维护</w:t>
            </w:r>
          </w:p>
        </w:tc>
        <w:tc>
          <w:tcPr>
            <w:tcW w:w="3915" w:type="pct"/>
            <w:shd w:val="clear" w:color="auto" w:fill="auto"/>
            <w:vAlign w:val="top"/>
          </w:tcPr>
          <w:p w14:paraId="574D533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lang w:val="en-US" w:eastAsia="en-US"/>
              </w:rPr>
            </w:pPr>
            <w:r>
              <w:rPr>
                <w:rFonts w:hint="eastAsia" w:ascii="仿宋" w:hAnsi="仿宋" w:eastAsia="仿宋" w:cs="仿宋"/>
              </w:rPr>
              <w:t>为我校提供服务区域内的秩序安全维护服务，确保校园区域内无安全问题。</w:t>
            </w:r>
          </w:p>
        </w:tc>
      </w:tr>
      <w:tr w14:paraId="737DA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348" w:type="pct"/>
            <w:shd w:val="clear" w:color="auto" w:fill="auto"/>
            <w:vAlign w:val="top"/>
          </w:tcPr>
          <w:p w14:paraId="6CED02E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lang w:val="en-US" w:eastAsia="zh-CN"/>
              </w:rPr>
            </w:pPr>
            <w:r>
              <w:rPr>
                <w:rFonts w:hint="eastAsia" w:ascii="仿宋" w:hAnsi="仿宋" w:eastAsia="仿宋" w:cs="仿宋"/>
                <w:lang w:val="en-US" w:eastAsia="zh-CN"/>
              </w:rPr>
              <w:t>8</w:t>
            </w:r>
          </w:p>
        </w:tc>
        <w:tc>
          <w:tcPr>
            <w:tcW w:w="735" w:type="pct"/>
            <w:shd w:val="clear" w:color="auto" w:fill="auto"/>
            <w:vAlign w:val="top"/>
          </w:tcPr>
          <w:p w14:paraId="335D10D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rPr>
            </w:pPr>
            <w:r>
              <w:rPr>
                <w:rFonts w:hint="eastAsia" w:ascii="仿宋" w:hAnsi="仿宋" w:eastAsia="仿宋" w:cs="仿宋"/>
              </w:rPr>
              <w:t>维修维护</w:t>
            </w:r>
          </w:p>
        </w:tc>
        <w:tc>
          <w:tcPr>
            <w:tcW w:w="3915" w:type="pct"/>
            <w:shd w:val="clear" w:color="auto" w:fill="auto"/>
            <w:vAlign w:val="top"/>
          </w:tcPr>
          <w:p w14:paraId="6679FC4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lang w:val="en-US" w:eastAsia="en-US"/>
              </w:rPr>
            </w:pPr>
            <w:r>
              <w:rPr>
                <w:rFonts w:hint="eastAsia" w:ascii="仿宋" w:hAnsi="仿宋" w:eastAsia="仿宋" w:cs="仿宋"/>
              </w:rPr>
              <w:t>为我校提供服务区域内水、电、暖气、新风、空调、电梯、照明等设施设备的日常维修和维护，确保维修及时。专业技术人员需持有国家相关部门的资格证书上岗。</w:t>
            </w:r>
          </w:p>
        </w:tc>
      </w:tr>
      <w:tr w14:paraId="720FFE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348" w:type="pct"/>
            <w:shd w:val="clear" w:color="auto" w:fill="auto"/>
            <w:vAlign w:val="top"/>
          </w:tcPr>
          <w:p w14:paraId="48B2DE9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lang w:val="en-US" w:eastAsia="zh-CN"/>
              </w:rPr>
            </w:pPr>
            <w:r>
              <w:rPr>
                <w:rFonts w:hint="eastAsia" w:ascii="仿宋" w:hAnsi="仿宋" w:eastAsia="仿宋" w:cs="仿宋"/>
              </w:rPr>
              <w:t>9</w:t>
            </w:r>
          </w:p>
        </w:tc>
        <w:tc>
          <w:tcPr>
            <w:tcW w:w="735" w:type="pct"/>
            <w:shd w:val="clear" w:color="auto" w:fill="auto"/>
            <w:vAlign w:val="top"/>
          </w:tcPr>
          <w:p w14:paraId="560233B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lang w:val="en-US" w:eastAsia="en-US"/>
              </w:rPr>
            </w:pPr>
            <w:r>
              <w:rPr>
                <w:rFonts w:hint="eastAsia" w:ascii="仿宋" w:hAnsi="仿宋" w:eastAsia="仿宋" w:cs="仿宋"/>
              </w:rPr>
              <w:t>客户服务</w:t>
            </w:r>
          </w:p>
        </w:tc>
        <w:tc>
          <w:tcPr>
            <w:tcW w:w="3915" w:type="pct"/>
            <w:shd w:val="clear" w:color="auto" w:fill="auto"/>
            <w:vAlign w:val="top"/>
          </w:tcPr>
          <w:p w14:paraId="039BDF7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lang w:val="en-US" w:eastAsia="en-US"/>
              </w:rPr>
            </w:pPr>
            <w:r>
              <w:rPr>
                <w:rFonts w:hint="eastAsia" w:ascii="仿宋" w:hAnsi="仿宋" w:eastAsia="仿宋" w:cs="仿宋"/>
              </w:rPr>
              <w:t>配合工程问题排查及跟进、校园重要活动、学校服务档案记录及资料整理等工作</w:t>
            </w:r>
          </w:p>
        </w:tc>
      </w:tr>
    </w:tbl>
    <w:p w14:paraId="690FC0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二、服务要求</w:t>
      </w:r>
    </w:p>
    <w:p w14:paraId="272225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1、总体管理目标</w:t>
      </w:r>
    </w:p>
    <w:p w14:paraId="0D7131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客户综合满意度：95%以上。</w:t>
      </w:r>
    </w:p>
    <w:p w14:paraId="1A9F2B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维修及时率：95%以上。</w:t>
      </w:r>
    </w:p>
    <w:p w14:paraId="2DBF03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保洁达标率：95%以上。</w:t>
      </w:r>
    </w:p>
    <w:p w14:paraId="71911A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秩序安全事故发生率：0%。</w:t>
      </w:r>
    </w:p>
    <w:p w14:paraId="7AE80A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2、公共环境卫生</w:t>
      </w:r>
    </w:p>
    <w:p w14:paraId="3D87F5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(1)教学楼、办公楼及实验楼等公共走廊区域，保证每天早上七点至下午六点卫生干净、整洁。</w:t>
      </w:r>
    </w:p>
    <w:p w14:paraId="01C663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(2)每个课间后收拾走廊及垃圾桶，保证垃圾桶及时清理。</w:t>
      </w:r>
    </w:p>
    <w:p w14:paraId="3DF14B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(3)室内外公共场所、主次干道干净整洁。有垃圾立即清理， 目视无烟头、碎纸、果皮等垃圾、无积水、无尘土、无痰迹。</w:t>
      </w:r>
    </w:p>
    <w:p w14:paraId="1093B2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(4)按照要求进行垃圾分类，垃圾的处理和收集做到及时清理，清理完成后立即消毒，清运途中垃圾无抛洒。</w:t>
      </w:r>
    </w:p>
    <w:p w14:paraId="207DFA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(5)校园保洁区域内（含楼体外立面）的玻璃、门、窗目视明亮，无灰尘、污迹、无水珠。</w:t>
      </w:r>
    </w:p>
    <w:p w14:paraId="2ADE76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(6)每个课间后收拾公共卫生间，确保隔断、便池、面池、台面、镜面等干净整洁，纸篓内垃圾不超出2/3，保持卫生间内空气畅通无异味，卫生间、洗手台等按要求配置卫生纸、洗手液等。</w:t>
      </w:r>
    </w:p>
    <w:p w14:paraId="5BE157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(7)垃圾桶摆放在指定位置并加盖密闭，桶外壁干净无垃圾粘附物。</w:t>
      </w:r>
    </w:p>
    <w:p w14:paraId="02E4B7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(8)目视公共照明灯罩表面干净，无积尘。</w:t>
      </w:r>
    </w:p>
    <w:p w14:paraId="0ABA41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(9)消火栓（箱）玻璃明亮目视无尘，箱顶、侧无尘，无明显污迹，无明显积尘、无蛛网。</w:t>
      </w:r>
    </w:p>
    <w:p w14:paraId="03FF33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(10)楼梯扶手及楼梯梯级目视干净无垃圾，无杂物，无明显污迹。</w:t>
      </w:r>
    </w:p>
    <w:p w14:paraId="4B26FC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(11)各种指示牌、标识， 目视无明显积尘、无水珠、无破损。</w:t>
      </w:r>
    </w:p>
    <w:p w14:paraId="05FD1C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(12)集中绿地草坪目视干净，无明显废纸、塑料袋、瓶罐等垃圾。</w:t>
      </w:r>
    </w:p>
    <w:p w14:paraId="23D548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(13)地面其它公共设施：随时清洁污染处，无乱张贴、无乱涂划、无破损。</w:t>
      </w:r>
    </w:p>
    <w:p w14:paraId="42A098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3、区域内治安秩序</w:t>
      </w:r>
    </w:p>
    <w:p w14:paraId="7670DC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(1)出入 口 24 小时值班，定点立岗，文明服务，来访人员出入登记，重要区位设岗并定时巡查，严格执行交接班制度。</w:t>
      </w:r>
    </w:p>
    <w:p w14:paraId="0221E1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(2)定岗检查登记，来访人员须确认登记后方可放行，严禁闲杂、可疑人员进入。</w:t>
      </w:r>
    </w:p>
    <w:p w14:paraId="26C178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(3)日流动巡查不少于8 次，严格控制和严密防范被盗、刑事、治安案件的发生。</w:t>
      </w:r>
    </w:p>
    <w:p w14:paraId="116E76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(4)做好物品出入校园的管理登记，对搬出大宗物品时要有出门单。</w:t>
      </w:r>
    </w:p>
    <w:p w14:paraId="4F05D8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(5)严格管理校园安全，避免火灾、盗窃、破坏、治安等事件的发生。</w:t>
      </w:r>
    </w:p>
    <w:p w14:paraId="67CBFA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(6)熟悉监控室设备功能，设专人值守，进行熟练操作，24 小时监控，记录详细、准确。</w:t>
      </w:r>
    </w:p>
    <w:p w14:paraId="1EE1E0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(7)建立各类突发事件的应急预案，并定期进行演习；发生突发事件及时到达现场，采取措施，及时上报、控制局面。</w:t>
      </w:r>
    </w:p>
    <w:p w14:paraId="594834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(8)对公共场所进行检查，无堆放易燃、易爆物品，无乱搭线，消防通道无堵塞，防火门无破损能正常使用。</w:t>
      </w:r>
    </w:p>
    <w:p w14:paraId="1A397D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(9)定期对消防设备进行检查；消防系统管路阀门运转良好。</w:t>
      </w:r>
    </w:p>
    <w:p w14:paraId="0D61C6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(10)全年火灾发生率为零。</w:t>
      </w:r>
    </w:p>
    <w:p w14:paraId="1F8056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(11)特种人员持证上岗。</w:t>
      </w:r>
    </w:p>
    <w:p w14:paraId="04D13F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(12)协助公安、城管等执法人员处理违法和上访事件，协助城市管理局处理各方投诉，协助消防部门定期检查。</w:t>
      </w:r>
    </w:p>
    <w:p w14:paraId="497A1C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(13)做好极端天气的应对并配合校方进行应急处理。</w:t>
      </w:r>
    </w:p>
    <w:p w14:paraId="5E7185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4、公建设施设备维修保养</w:t>
      </w:r>
    </w:p>
    <w:p w14:paraId="137DCE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(1)日常维护人员必须要有相关从业资格证明，持证上岗。</w:t>
      </w:r>
    </w:p>
    <w:p w14:paraId="396023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(2)建立设备、设施维修保养计划，确保设备设施工作正常，定期对设备设施进行维修保养，并做好相关检查记录。</w:t>
      </w:r>
    </w:p>
    <w:p w14:paraId="0C7D08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(3)消防系统设备设施定期检查，确保设施设备安全正常运行。</w:t>
      </w:r>
    </w:p>
    <w:p w14:paraId="79B1A2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(4)办公设备、家具等定期检查保养及其他维修任务。</w:t>
      </w:r>
    </w:p>
    <w:p w14:paraId="1F7BAF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(5)各楼层房屋装修的维护、保养。</w:t>
      </w:r>
    </w:p>
    <w:p w14:paraId="3CD42D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(6)校园内水电设施设备定期巡查，及时维修，并做好相关记录。</w:t>
      </w:r>
    </w:p>
    <w:p w14:paraId="46F968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(7)制定节能降耗工作计划，配合校方相关部门落地并严格执行。</w:t>
      </w:r>
    </w:p>
    <w:p w14:paraId="515C2B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(8)重要活动提供现场技术保障，做好会议准备过程中设备保障工作。</w:t>
      </w:r>
    </w:p>
    <w:p w14:paraId="509C76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(9)维修记录完整、真实、准确、无丢失。</w:t>
      </w:r>
    </w:p>
    <w:p w14:paraId="42F9A2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(10)实行 24 小时报修值班制度，急修 10 分钟到达现场，一般维修 30 分钟或约定时间到达现场，确保维修及时，维修质量合格。</w:t>
      </w:r>
    </w:p>
    <w:p w14:paraId="7AA958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5、客户服务</w:t>
      </w:r>
    </w:p>
    <w:p w14:paraId="27A671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(1)服务人员在服务过程中保持良好的精神状态，热情、耐心、周到。</w:t>
      </w:r>
    </w:p>
    <w:p w14:paraId="3F13D9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(2)统一着装、整齐清洁，仪容仪表整洁端庄，站姿端正，坐姿稳重。</w:t>
      </w:r>
    </w:p>
    <w:p w14:paraId="3915DA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(3)有完善的物业档案管理制度，资料齐全。</w:t>
      </w:r>
    </w:p>
    <w:p w14:paraId="35619A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(4)接收相关专业技能的培训，掌握物业管理基本法律法规，熟悉校园的基本情况，能正确使用相关专业设备。</w:t>
      </w:r>
    </w:p>
    <w:p w14:paraId="00DD38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(5)提供传真接收发送、报纸信件送递等服务。</w:t>
      </w:r>
    </w:p>
    <w:p w14:paraId="392DD7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(6)为来访人员提供接待、咨询、引导服务。</w:t>
      </w:r>
    </w:p>
    <w:p w14:paraId="779ACB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(7)配合校方完成校园文化活动等服务。</w:t>
      </w:r>
    </w:p>
    <w:p w14:paraId="328F6F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(8)日常报修接待服务，及时受理传达。</w:t>
      </w:r>
    </w:p>
    <w:p w14:paraId="02CA87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(9)及时上报、处理回复及投诉等问题。</w:t>
      </w:r>
    </w:p>
    <w:p w14:paraId="40B57B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p>
    <w:p w14:paraId="3E7A45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bookmarkStart w:id="1" w:name="_GoBack"/>
      <w:bookmarkEnd w:id="1"/>
    </w:p>
    <w:p w14:paraId="3EA3CDA6">
      <w:pPr>
        <w:pStyle w:val="3"/>
        <w:spacing w:before="233" w:line="224" w:lineRule="auto"/>
        <w:ind w:left="782"/>
        <w:outlineLvl w:val="1"/>
        <w:rPr>
          <w:rFonts w:hint="eastAsia" w:ascii="仿宋" w:hAnsi="仿宋" w:eastAsia="仿宋" w:cs="仿宋"/>
          <w:sz w:val="24"/>
          <w:szCs w:val="24"/>
        </w:rPr>
      </w:pPr>
      <w:r>
        <w:rPr>
          <w:rFonts w:hint="eastAsia" w:ascii="仿宋" w:hAnsi="仿宋" w:eastAsia="仿宋" w:cs="仿宋"/>
          <w:b/>
          <w:bCs/>
          <w:spacing w:val="-6"/>
          <w:sz w:val="24"/>
          <w:szCs w:val="24"/>
        </w:rPr>
        <w:t>三、人员配置</w:t>
      </w:r>
    </w:p>
    <w:p w14:paraId="153CBA96">
      <w:pPr>
        <w:spacing w:line="17" w:lineRule="exact"/>
        <w:rPr>
          <w:rFonts w:hint="eastAsia" w:ascii="仿宋" w:hAnsi="仿宋" w:eastAsia="仿宋" w:cs="仿宋"/>
          <w:sz w:val="24"/>
          <w:szCs w:val="24"/>
        </w:rPr>
      </w:pPr>
    </w:p>
    <w:tbl>
      <w:tblPr>
        <w:tblStyle w:val="7"/>
        <w:tblW w:w="9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74"/>
        <w:gridCol w:w="718"/>
        <w:gridCol w:w="6782"/>
      </w:tblGrid>
      <w:tr w14:paraId="72B2FC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2074" w:type="dxa"/>
            <w:vAlign w:val="top"/>
          </w:tcPr>
          <w:p w14:paraId="0F3369BD">
            <w:pPr>
              <w:pStyle w:val="8"/>
              <w:spacing w:before="247" w:line="222" w:lineRule="auto"/>
              <w:jc w:val="center"/>
              <w:rPr>
                <w:rFonts w:hint="eastAsia" w:ascii="仿宋" w:hAnsi="仿宋" w:eastAsia="仿宋" w:cs="仿宋"/>
                <w:sz w:val="24"/>
                <w:szCs w:val="24"/>
              </w:rPr>
            </w:pPr>
            <w:r>
              <w:rPr>
                <w:rFonts w:hint="eastAsia" w:ascii="仿宋" w:hAnsi="仿宋" w:eastAsia="仿宋" w:cs="仿宋"/>
                <w:spacing w:val="-23"/>
                <w:sz w:val="24"/>
                <w:szCs w:val="24"/>
              </w:rPr>
              <w:t>岗位</w:t>
            </w:r>
          </w:p>
        </w:tc>
        <w:tc>
          <w:tcPr>
            <w:tcW w:w="718" w:type="dxa"/>
            <w:vAlign w:val="top"/>
          </w:tcPr>
          <w:p w14:paraId="119D5A14">
            <w:pPr>
              <w:pStyle w:val="8"/>
              <w:spacing w:before="247" w:line="223" w:lineRule="auto"/>
              <w:ind w:left="133"/>
              <w:jc w:val="center"/>
              <w:rPr>
                <w:rFonts w:hint="eastAsia" w:ascii="仿宋" w:hAnsi="仿宋" w:eastAsia="仿宋" w:cs="仿宋"/>
                <w:sz w:val="24"/>
                <w:szCs w:val="24"/>
              </w:rPr>
            </w:pPr>
            <w:r>
              <w:rPr>
                <w:rFonts w:hint="eastAsia" w:ascii="仿宋" w:hAnsi="仿宋" w:eastAsia="仿宋" w:cs="仿宋"/>
                <w:spacing w:val="-10"/>
                <w:sz w:val="24"/>
                <w:szCs w:val="24"/>
              </w:rPr>
              <w:t>人数</w:t>
            </w:r>
          </w:p>
        </w:tc>
        <w:tc>
          <w:tcPr>
            <w:tcW w:w="6782" w:type="dxa"/>
            <w:vAlign w:val="top"/>
          </w:tcPr>
          <w:p w14:paraId="652E4AF7">
            <w:pPr>
              <w:pStyle w:val="8"/>
              <w:spacing w:before="248" w:line="224" w:lineRule="auto"/>
              <w:jc w:val="center"/>
              <w:rPr>
                <w:rFonts w:hint="eastAsia" w:ascii="仿宋" w:hAnsi="仿宋" w:eastAsia="仿宋" w:cs="仿宋"/>
                <w:sz w:val="24"/>
                <w:szCs w:val="24"/>
              </w:rPr>
            </w:pPr>
            <w:r>
              <w:rPr>
                <w:rFonts w:hint="eastAsia" w:ascii="仿宋" w:hAnsi="仿宋" w:eastAsia="仿宋" w:cs="仿宋"/>
                <w:spacing w:val="-8"/>
                <w:sz w:val="24"/>
                <w:szCs w:val="24"/>
              </w:rPr>
              <w:t>职责</w:t>
            </w:r>
          </w:p>
        </w:tc>
      </w:tr>
      <w:tr w14:paraId="562488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2074" w:type="dxa"/>
            <w:vAlign w:val="top"/>
          </w:tcPr>
          <w:p w14:paraId="1E8E3675">
            <w:pPr>
              <w:pStyle w:val="8"/>
              <w:spacing w:before="243" w:line="221" w:lineRule="auto"/>
              <w:ind w:left="123"/>
              <w:jc w:val="center"/>
              <w:rPr>
                <w:rFonts w:hint="eastAsia" w:ascii="仿宋" w:hAnsi="仿宋" w:eastAsia="仿宋" w:cs="仿宋"/>
                <w:sz w:val="24"/>
                <w:szCs w:val="24"/>
              </w:rPr>
            </w:pPr>
            <w:r>
              <w:rPr>
                <w:rFonts w:hint="eastAsia" w:ascii="仿宋" w:hAnsi="仿宋" w:eastAsia="仿宋" w:cs="仿宋"/>
                <w:spacing w:val="-5"/>
                <w:sz w:val="24"/>
                <w:szCs w:val="24"/>
              </w:rPr>
              <w:t>物业经理</w:t>
            </w:r>
          </w:p>
        </w:tc>
        <w:tc>
          <w:tcPr>
            <w:tcW w:w="718" w:type="dxa"/>
            <w:vAlign w:val="top"/>
          </w:tcPr>
          <w:p w14:paraId="4C06CC0E">
            <w:pPr>
              <w:spacing w:before="285" w:line="188" w:lineRule="auto"/>
              <w:ind w:left="132"/>
              <w:jc w:val="center"/>
              <w:rPr>
                <w:rFonts w:hint="eastAsia" w:ascii="仿宋" w:hAnsi="仿宋" w:eastAsia="仿宋" w:cs="仿宋"/>
                <w:sz w:val="24"/>
                <w:szCs w:val="24"/>
              </w:rPr>
            </w:pPr>
            <w:r>
              <w:rPr>
                <w:rFonts w:hint="eastAsia" w:ascii="仿宋" w:hAnsi="仿宋" w:eastAsia="仿宋" w:cs="仿宋"/>
                <w:sz w:val="24"/>
                <w:szCs w:val="24"/>
              </w:rPr>
              <w:t>1</w:t>
            </w:r>
          </w:p>
        </w:tc>
        <w:tc>
          <w:tcPr>
            <w:tcW w:w="6782" w:type="dxa"/>
            <w:vAlign w:val="top"/>
          </w:tcPr>
          <w:p w14:paraId="6EEE7818">
            <w:pPr>
              <w:pStyle w:val="8"/>
              <w:spacing w:before="243" w:line="221" w:lineRule="auto"/>
              <w:ind w:left="126"/>
              <w:jc w:val="left"/>
              <w:rPr>
                <w:rFonts w:hint="eastAsia" w:ascii="仿宋" w:hAnsi="仿宋" w:eastAsia="仿宋" w:cs="仿宋"/>
                <w:sz w:val="24"/>
                <w:szCs w:val="24"/>
              </w:rPr>
            </w:pPr>
            <w:r>
              <w:rPr>
                <w:rFonts w:hint="eastAsia" w:ascii="仿宋" w:hAnsi="仿宋" w:eastAsia="仿宋" w:cs="仿宋"/>
                <w:spacing w:val="-3"/>
                <w:sz w:val="24"/>
                <w:szCs w:val="24"/>
              </w:rPr>
              <w:t>负责全校整体物业</w:t>
            </w:r>
          </w:p>
        </w:tc>
      </w:tr>
      <w:tr w14:paraId="6F6F90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2074" w:type="dxa"/>
            <w:vAlign w:val="top"/>
          </w:tcPr>
          <w:p w14:paraId="26D4EC29">
            <w:pPr>
              <w:pStyle w:val="8"/>
              <w:spacing w:before="246" w:line="222" w:lineRule="auto"/>
              <w:ind w:left="128"/>
              <w:jc w:val="center"/>
              <w:rPr>
                <w:rFonts w:hint="eastAsia" w:ascii="仿宋" w:hAnsi="仿宋" w:eastAsia="仿宋" w:cs="仿宋"/>
                <w:sz w:val="24"/>
                <w:szCs w:val="24"/>
              </w:rPr>
            </w:pPr>
            <w:r>
              <w:rPr>
                <w:rFonts w:hint="eastAsia" w:ascii="仿宋" w:hAnsi="仿宋" w:eastAsia="仿宋" w:cs="仿宋"/>
                <w:spacing w:val="-4"/>
                <w:sz w:val="24"/>
                <w:szCs w:val="24"/>
              </w:rPr>
              <w:t>消防和安全值班</w:t>
            </w:r>
          </w:p>
        </w:tc>
        <w:tc>
          <w:tcPr>
            <w:tcW w:w="718" w:type="dxa"/>
            <w:vAlign w:val="top"/>
          </w:tcPr>
          <w:p w14:paraId="33E3E395">
            <w:pPr>
              <w:spacing w:before="288" w:line="188" w:lineRule="auto"/>
              <w:ind w:left="109"/>
              <w:jc w:val="center"/>
              <w:rPr>
                <w:rFonts w:hint="eastAsia" w:ascii="仿宋" w:hAnsi="仿宋" w:eastAsia="仿宋" w:cs="仿宋"/>
                <w:sz w:val="24"/>
                <w:szCs w:val="24"/>
              </w:rPr>
            </w:pPr>
            <w:r>
              <w:rPr>
                <w:rFonts w:hint="eastAsia" w:ascii="仿宋" w:hAnsi="仿宋" w:eastAsia="仿宋" w:cs="仿宋"/>
                <w:sz w:val="24"/>
                <w:szCs w:val="24"/>
              </w:rPr>
              <w:t>2</w:t>
            </w:r>
          </w:p>
        </w:tc>
        <w:tc>
          <w:tcPr>
            <w:tcW w:w="6782" w:type="dxa"/>
            <w:vAlign w:val="top"/>
          </w:tcPr>
          <w:p w14:paraId="1D81E836">
            <w:pPr>
              <w:pStyle w:val="8"/>
              <w:spacing w:before="247" w:line="220" w:lineRule="auto"/>
              <w:ind w:left="126"/>
              <w:jc w:val="left"/>
              <w:rPr>
                <w:rFonts w:hint="eastAsia" w:ascii="仿宋" w:hAnsi="仿宋" w:eastAsia="仿宋" w:cs="仿宋"/>
                <w:sz w:val="24"/>
                <w:szCs w:val="24"/>
              </w:rPr>
            </w:pPr>
            <w:r>
              <w:rPr>
                <w:rFonts w:hint="eastAsia" w:ascii="仿宋" w:hAnsi="仿宋" w:eastAsia="仿宋" w:cs="仿宋"/>
                <w:spacing w:val="-1"/>
                <w:sz w:val="24"/>
                <w:szCs w:val="24"/>
              </w:rPr>
              <w:t>负责消防控制</w:t>
            </w:r>
            <w:r>
              <w:rPr>
                <w:rFonts w:hint="eastAsia" w:ascii="仿宋" w:hAnsi="仿宋" w:eastAsia="仿宋" w:cs="仿宋"/>
                <w:spacing w:val="-1"/>
                <w:sz w:val="24"/>
                <w:szCs w:val="24"/>
                <w:highlight w:val="none"/>
              </w:rPr>
              <w:t>室值班（</w:t>
            </w:r>
            <w:r>
              <w:rPr>
                <w:rStyle w:val="9"/>
                <w:rFonts w:hint="eastAsia" w:ascii="仿宋" w:hAnsi="仿宋" w:eastAsia="仿宋" w:cs="仿宋"/>
                <w:color w:val="000000"/>
                <w:sz w:val="21"/>
                <w:szCs w:val="21"/>
                <w:highlight w:val="none"/>
                <w:lang w:val="en-US" w:eastAsia="zh-CN"/>
              </w:rPr>
              <w:t>★</w:t>
            </w:r>
            <w:r>
              <w:rPr>
                <w:rFonts w:hint="eastAsia" w:ascii="仿宋" w:hAnsi="仿宋" w:eastAsia="仿宋" w:cs="仿宋"/>
                <w:spacing w:val="-1"/>
                <w:sz w:val="24"/>
                <w:szCs w:val="24"/>
                <w:highlight w:val="none"/>
              </w:rPr>
              <w:t>须持有消防</w:t>
            </w:r>
            <w:r>
              <w:rPr>
                <w:rFonts w:hint="eastAsia" w:cs="仿宋"/>
                <w:spacing w:val="-1"/>
                <w:sz w:val="24"/>
                <w:szCs w:val="24"/>
                <w:highlight w:val="none"/>
                <w:lang w:val="en-US" w:eastAsia="zh-CN"/>
              </w:rPr>
              <w:t>设施操作员</w:t>
            </w:r>
            <w:r>
              <w:rPr>
                <w:rFonts w:hint="eastAsia" w:ascii="仿宋" w:hAnsi="仿宋" w:eastAsia="仿宋" w:cs="仿宋"/>
                <w:spacing w:val="-1"/>
                <w:sz w:val="24"/>
                <w:szCs w:val="24"/>
                <w:highlight w:val="none"/>
              </w:rPr>
              <w:t>职业资格证书）</w:t>
            </w:r>
          </w:p>
        </w:tc>
      </w:tr>
      <w:tr w14:paraId="1BF06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2074" w:type="dxa"/>
            <w:shd w:val="clear" w:color="auto" w:fill="auto"/>
            <w:vAlign w:val="top"/>
          </w:tcPr>
          <w:p w14:paraId="38590936">
            <w:pPr>
              <w:pStyle w:val="8"/>
              <w:spacing w:before="247" w:line="221" w:lineRule="auto"/>
              <w:ind w:left="123" w:leftChars="0"/>
              <w:jc w:val="center"/>
              <w:rPr>
                <w:rFonts w:hint="eastAsia" w:ascii="仿宋" w:hAnsi="仿宋" w:eastAsia="仿宋" w:cs="仿宋"/>
                <w:kern w:val="2"/>
                <w:sz w:val="24"/>
                <w:szCs w:val="24"/>
                <w:lang w:val="en-US" w:eastAsia="en-US" w:bidi="ar-SA"/>
              </w:rPr>
            </w:pPr>
            <w:r>
              <w:rPr>
                <w:rFonts w:hint="eastAsia" w:ascii="仿宋" w:hAnsi="仿宋" w:eastAsia="仿宋" w:cs="仿宋"/>
                <w:spacing w:val="-9"/>
                <w:sz w:val="24"/>
                <w:szCs w:val="24"/>
              </w:rPr>
              <w:t>保洁</w:t>
            </w:r>
          </w:p>
        </w:tc>
        <w:tc>
          <w:tcPr>
            <w:tcW w:w="718" w:type="dxa"/>
            <w:shd w:val="clear" w:color="auto" w:fill="auto"/>
            <w:vAlign w:val="top"/>
          </w:tcPr>
          <w:p w14:paraId="11F31F6B">
            <w:pPr>
              <w:spacing w:before="293" w:line="185" w:lineRule="auto"/>
              <w:ind w:left="115" w:left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5</w:t>
            </w:r>
          </w:p>
        </w:tc>
        <w:tc>
          <w:tcPr>
            <w:tcW w:w="6782" w:type="dxa"/>
            <w:shd w:val="clear" w:color="auto" w:fill="auto"/>
            <w:vAlign w:val="top"/>
          </w:tcPr>
          <w:p w14:paraId="01019C77">
            <w:pPr>
              <w:pStyle w:val="8"/>
              <w:spacing w:before="248" w:line="219" w:lineRule="auto"/>
              <w:ind w:left="129" w:leftChars="0"/>
              <w:jc w:val="left"/>
              <w:rPr>
                <w:rFonts w:hint="eastAsia" w:ascii="仿宋" w:hAnsi="仿宋" w:eastAsia="仿宋" w:cs="仿宋"/>
                <w:kern w:val="2"/>
                <w:sz w:val="24"/>
                <w:szCs w:val="24"/>
                <w:lang w:val="en-US" w:eastAsia="en-US" w:bidi="ar-SA"/>
              </w:rPr>
            </w:pPr>
            <w:r>
              <w:rPr>
                <w:rFonts w:hint="eastAsia" w:ascii="仿宋" w:hAnsi="仿宋" w:eastAsia="仿宋" w:cs="仿宋"/>
                <w:spacing w:val="-1"/>
                <w:sz w:val="24"/>
                <w:szCs w:val="24"/>
              </w:rPr>
              <w:t>包括保洁班长在内，负责校园环境卫生、垃圾清运的整体工作</w:t>
            </w:r>
          </w:p>
        </w:tc>
      </w:tr>
      <w:tr w14:paraId="046D4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2074" w:type="dxa"/>
            <w:shd w:val="clear" w:color="auto" w:fill="auto"/>
            <w:vAlign w:val="top"/>
          </w:tcPr>
          <w:p w14:paraId="78D82604">
            <w:pPr>
              <w:pStyle w:val="8"/>
              <w:spacing w:before="243" w:line="223" w:lineRule="auto"/>
              <w:ind w:left="122" w:leftChars="0"/>
              <w:jc w:val="center"/>
              <w:rPr>
                <w:rFonts w:hint="eastAsia" w:ascii="仿宋" w:hAnsi="仿宋" w:eastAsia="仿宋" w:cs="仿宋"/>
                <w:kern w:val="2"/>
                <w:sz w:val="24"/>
                <w:szCs w:val="24"/>
                <w:lang w:val="en-US" w:eastAsia="en-US" w:bidi="ar-SA"/>
              </w:rPr>
            </w:pPr>
            <w:r>
              <w:rPr>
                <w:rFonts w:hint="eastAsia" w:ascii="仿宋" w:hAnsi="仿宋" w:eastAsia="仿宋" w:cs="仿宋"/>
                <w:spacing w:val="-6"/>
                <w:sz w:val="24"/>
                <w:szCs w:val="24"/>
              </w:rPr>
              <w:t>水电工</w:t>
            </w:r>
          </w:p>
        </w:tc>
        <w:tc>
          <w:tcPr>
            <w:tcW w:w="718" w:type="dxa"/>
            <w:shd w:val="clear" w:color="auto" w:fill="auto"/>
            <w:vAlign w:val="top"/>
          </w:tcPr>
          <w:p w14:paraId="0F2CD7F3">
            <w:pPr>
              <w:spacing w:before="285" w:line="188" w:lineRule="auto"/>
              <w:ind w:left="132" w:left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1</w:t>
            </w:r>
          </w:p>
        </w:tc>
        <w:tc>
          <w:tcPr>
            <w:tcW w:w="6782" w:type="dxa"/>
            <w:shd w:val="clear" w:color="auto" w:fill="auto"/>
            <w:vAlign w:val="top"/>
          </w:tcPr>
          <w:p w14:paraId="7797C305">
            <w:pPr>
              <w:pStyle w:val="8"/>
              <w:spacing w:before="243" w:line="220" w:lineRule="auto"/>
              <w:ind w:left="126" w:leftChars="0"/>
              <w:jc w:val="left"/>
              <w:rPr>
                <w:rFonts w:hint="eastAsia" w:ascii="仿宋" w:hAnsi="仿宋" w:eastAsia="仿宋" w:cs="仿宋"/>
                <w:kern w:val="2"/>
                <w:sz w:val="24"/>
                <w:szCs w:val="24"/>
                <w:lang w:val="en-US" w:eastAsia="en-US" w:bidi="ar-SA"/>
              </w:rPr>
            </w:pPr>
            <w:r>
              <w:rPr>
                <w:rFonts w:hint="eastAsia" w:ascii="仿宋" w:hAnsi="仿宋" w:eastAsia="仿宋" w:cs="仿宋"/>
                <w:spacing w:val="-2"/>
                <w:sz w:val="24"/>
                <w:szCs w:val="24"/>
              </w:rPr>
              <w:t>负责全校供水、供电及维修工作</w:t>
            </w:r>
          </w:p>
        </w:tc>
      </w:tr>
      <w:tr w14:paraId="5BC66A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2074" w:type="dxa"/>
            <w:shd w:val="clear" w:color="auto" w:fill="auto"/>
            <w:vAlign w:val="top"/>
          </w:tcPr>
          <w:p w14:paraId="5FA1C1B7">
            <w:pPr>
              <w:pStyle w:val="8"/>
              <w:spacing w:before="246" w:line="222" w:lineRule="auto"/>
              <w:ind w:left="146" w:leftChars="0"/>
              <w:jc w:val="center"/>
              <w:rPr>
                <w:rFonts w:hint="eastAsia" w:ascii="仿宋" w:hAnsi="仿宋" w:eastAsia="仿宋" w:cs="仿宋"/>
                <w:kern w:val="2"/>
                <w:sz w:val="24"/>
                <w:szCs w:val="24"/>
                <w:lang w:val="en-US" w:eastAsia="en-US" w:bidi="ar-SA"/>
              </w:rPr>
            </w:pPr>
            <w:r>
              <w:rPr>
                <w:rFonts w:hint="eastAsia" w:ascii="仿宋" w:hAnsi="仿宋" w:eastAsia="仿宋" w:cs="仿宋"/>
                <w:spacing w:val="-20"/>
                <w:sz w:val="24"/>
                <w:szCs w:val="24"/>
              </w:rPr>
              <w:t>园林</w:t>
            </w:r>
          </w:p>
        </w:tc>
        <w:tc>
          <w:tcPr>
            <w:tcW w:w="718" w:type="dxa"/>
            <w:shd w:val="clear" w:color="auto" w:fill="auto"/>
            <w:vAlign w:val="top"/>
          </w:tcPr>
          <w:p w14:paraId="191A5CB6">
            <w:pPr>
              <w:spacing w:before="287" w:line="188" w:lineRule="auto"/>
              <w:ind w:left="132" w:left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1</w:t>
            </w:r>
          </w:p>
        </w:tc>
        <w:tc>
          <w:tcPr>
            <w:tcW w:w="6782" w:type="dxa"/>
            <w:shd w:val="clear" w:color="auto" w:fill="auto"/>
            <w:vAlign w:val="top"/>
          </w:tcPr>
          <w:p w14:paraId="59FCFD67">
            <w:pPr>
              <w:pStyle w:val="8"/>
              <w:spacing w:before="245" w:line="222" w:lineRule="auto"/>
              <w:ind w:left="126" w:leftChars="0"/>
              <w:jc w:val="left"/>
              <w:rPr>
                <w:rFonts w:hint="eastAsia" w:ascii="仿宋" w:hAnsi="仿宋" w:eastAsia="仿宋" w:cs="仿宋"/>
                <w:kern w:val="2"/>
                <w:sz w:val="24"/>
                <w:szCs w:val="24"/>
                <w:lang w:val="en-US" w:eastAsia="en-US" w:bidi="ar-SA"/>
              </w:rPr>
            </w:pPr>
            <w:r>
              <w:rPr>
                <w:rFonts w:hint="eastAsia" w:ascii="仿宋" w:hAnsi="仿宋" w:eastAsia="仿宋" w:cs="仿宋"/>
                <w:spacing w:val="-3"/>
                <w:sz w:val="24"/>
                <w:szCs w:val="24"/>
              </w:rPr>
              <w:t>负责全校绿化及园林</w:t>
            </w:r>
          </w:p>
        </w:tc>
      </w:tr>
      <w:tr w14:paraId="523BCA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2074" w:type="dxa"/>
            <w:shd w:val="clear" w:color="auto" w:fill="auto"/>
            <w:vAlign w:val="top"/>
          </w:tcPr>
          <w:p w14:paraId="662465F7">
            <w:pPr>
              <w:pStyle w:val="8"/>
              <w:spacing w:before="245" w:line="221" w:lineRule="auto"/>
              <w:ind w:left="125" w:leftChars="0"/>
              <w:jc w:val="center"/>
              <w:rPr>
                <w:rFonts w:hint="eastAsia" w:ascii="仿宋" w:hAnsi="仿宋" w:eastAsia="仿宋" w:cs="仿宋"/>
                <w:kern w:val="2"/>
                <w:sz w:val="24"/>
                <w:szCs w:val="24"/>
                <w:lang w:val="en-US" w:eastAsia="en-US" w:bidi="ar-SA"/>
              </w:rPr>
            </w:pPr>
            <w:r>
              <w:rPr>
                <w:rFonts w:hint="eastAsia" w:ascii="仿宋" w:hAnsi="仿宋" w:eastAsia="仿宋" w:cs="仿宋"/>
                <w:spacing w:val="-10"/>
                <w:sz w:val="24"/>
                <w:szCs w:val="24"/>
              </w:rPr>
              <w:t>安保</w:t>
            </w:r>
          </w:p>
        </w:tc>
        <w:tc>
          <w:tcPr>
            <w:tcW w:w="718" w:type="dxa"/>
            <w:shd w:val="clear" w:color="auto" w:fill="auto"/>
            <w:vAlign w:val="top"/>
          </w:tcPr>
          <w:p w14:paraId="50CAAB4F">
            <w:pPr>
              <w:spacing w:before="287" w:line="188" w:lineRule="auto"/>
              <w:ind w:left="108" w:left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4</w:t>
            </w:r>
          </w:p>
        </w:tc>
        <w:tc>
          <w:tcPr>
            <w:tcW w:w="6782" w:type="dxa"/>
            <w:shd w:val="clear" w:color="auto" w:fill="auto"/>
            <w:vAlign w:val="top"/>
          </w:tcPr>
          <w:p w14:paraId="3E734FEF">
            <w:pPr>
              <w:pStyle w:val="8"/>
              <w:spacing w:before="246" w:line="222" w:lineRule="auto"/>
              <w:ind w:left="126" w:leftChars="0"/>
              <w:jc w:val="left"/>
              <w:rPr>
                <w:rFonts w:hint="eastAsia" w:ascii="仿宋" w:hAnsi="仿宋" w:eastAsia="仿宋" w:cs="仿宋"/>
                <w:kern w:val="2"/>
                <w:sz w:val="24"/>
                <w:szCs w:val="24"/>
                <w:lang w:val="en-US" w:eastAsia="en-US" w:bidi="ar-SA"/>
              </w:rPr>
            </w:pPr>
            <w:r>
              <w:rPr>
                <w:rFonts w:hint="eastAsia" w:ascii="仿宋" w:hAnsi="仿宋" w:eastAsia="仿宋" w:cs="仿宋"/>
                <w:spacing w:val="-4"/>
                <w:sz w:val="24"/>
                <w:szCs w:val="24"/>
              </w:rPr>
              <w:t>负责治安秩序</w:t>
            </w:r>
          </w:p>
        </w:tc>
      </w:tr>
    </w:tbl>
    <w:p w14:paraId="56456CC6">
      <w:pPr>
        <w:spacing w:line="360" w:lineRule="auto"/>
        <w:ind w:firstLine="422" w:firstLineChars="200"/>
        <w:jc w:val="left"/>
        <w:outlineLvl w:val="0"/>
        <w:rPr>
          <w:rStyle w:val="9"/>
          <w:rFonts w:hint="eastAsia" w:ascii="仿宋" w:hAnsi="仿宋" w:eastAsia="仿宋" w:cs="仿宋"/>
          <w:color w:val="000000"/>
          <w:sz w:val="21"/>
          <w:szCs w:val="21"/>
          <w:highlight w:val="none"/>
          <w:lang w:val="en-US" w:eastAsia="zh-CN"/>
        </w:rPr>
      </w:pPr>
      <w:r>
        <w:rPr>
          <w:rStyle w:val="9"/>
          <w:rFonts w:hint="eastAsia" w:ascii="仿宋" w:hAnsi="仿宋" w:eastAsia="仿宋" w:cs="仿宋"/>
          <w:color w:val="000000"/>
          <w:sz w:val="21"/>
          <w:szCs w:val="21"/>
          <w:highlight w:val="none"/>
          <w:lang w:val="en-US" w:eastAsia="zh-CN"/>
        </w:rPr>
        <w:t>备注：“★”内容项为实质性条款，投标供应商应在第六章“竞争性磋商响应文件格式”中的“实质性条款响应”处逐条响应“★”内容项，未逐条响应、有缺漏将被视为无效投标；</w:t>
      </w:r>
    </w:p>
    <w:p w14:paraId="7E120E6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6F4C84"/>
    <w:rsid w:val="736F4C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9"/>
    <w:qFormat/>
    <w:uiPriority w:val="0"/>
    <w:pPr>
      <w:keepNext/>
      <w:keepLines/>
      <w:spacing w:before="340" w:after="330" w:line="576" w:lineRule="auto"/>
      <w:jc w:val="center"/>
      <w:outlineLvl w:val="0"/>
    </w:pPr>
    <w:rPr>
      <w:b/>
      <w:kern w:val="44"/>
      <w:sz w:val="36"/>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spacing w:after="120"/>
    </w:pPr>
    <w:rPr>
      <w:rFonts w:ascii="Times New Roman"/>
    </w:rPr>
  </w:style>
  <w:style w:type="character" w:customStyle="1" w:styleId="6">
    <w:name w:val="标题 1 字符"/>
    <w:link w:val="2"/>
    <w:qFormat/>
    <w:uiPriority w:val="0"/>
    <w:rPr>
      <w:b/>
      <w:kern w:val="44"/>
      <w:sz w:val="36"/>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仿宋" w:hAnsi="仿宋" w:eastAsia="仿宋" w:cs="仿宋"/>
      <w:sz w:val="20"/>
      <w:szCs w:val="20"/>
      <w:lang w:val="en-US" w:eastAsia="en-US" w:bidi="ar-SA"/>
    </w:rPr>
  </w:style>
  <w:style w:type="character" w:customStyle="1" w:styleId="9">
    <w:name w:val="标题 1 Char"/>
    <w:link w:val="2"/>
    <w:qFormat/>
    <w:uiPriority w:val="0"/>
    <w:rPr>
      <w:rFonts w:ascii="Calibri" w:hAnsi="Calibri" w:eastAsia="宋体" w:cs="Times New Roman"/>
      <w:b/>
      <w:kern w:val="44"/>
      <w:sz w:val="3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2026-09-17T04:07:00Z</dcterms:created>
  <dc:creator>echo</dc:creator>
  <cp:lastModifiedBy>echo</cp:lastModifiedBy>
  <dcterms:modified xsi:type="dcterms:W3CDTF">2026-09-17T04:07:30Z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49874310E4B24A8D816276496FA76FE4_11</vt:lpwstr>
  </property>
  <property fmtid="{D5CDD505-2E9C-101B-9397-08002B2CF9AE}" pid="4" name="KSOTemplateDocerSaveRecord">
    <vt:lpwstr>eyJoZGlkIjoiMTU1MjA4MDE1M2UyNDQ5OTZmNTY2MzZkYzY2NjJiOTQiLCJ1c2VySWQiOiIyNDg2NTg2NDAifQ==</vt:lpwstr>
  </property>
</Properties>
</file>