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版本号：ZY2026-ZB-GK105120260430001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档案卷宗随案生成服务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ZY2026-ZB-GK1051</w:t>
      </w:r>
      <w:r>
        <w:br/>
      </w:r>
      <w:r>
        <w:br/>
      </w:r>
      <w:r>
        <w:br/>
      </w:r>
    </w:p>
    <w:p>
      <w:pPr>
        <w:pStyle w:val="null3"/>
        <w:jc w:val="center"/>
        <w:outlineLvl w:val="2"/>
      </w:pPr>
      <w:r>
        <w:rPr>
          <w:rFonts w:ascii="仿宋_GB2312" w:hAnsi="仿宋_GB2312" w:cs="仿宋_GB2312" w:eastAsia="仿宋_GB2312"/>
          <w:sz w:val="28"/>
          <w:b/>
        </w:rPr>
        <w:t>西安市未央区人民法院[158]</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西安市未央区人民法院[158]</w:t>
      </w:r>
      <w:r>
        <w:rPr>
          <w:rFonts w:ascii="仿宋_GB2312" w:hAnsi="仿宋_GB2312" w:cs="仿宋_GB2312" w:eastAsia="仿宋_GB2312"/>
        </w:rPr>
        <w:t>委托，拟对</w:t>
      </w:r>
      <w:r>
        <w:rPr>
          <w:rFonts w:ascii="仿宋_GB2312" w:hAnsi="仿宋_GB2312" w:cs="仿宋_GB2312" w:eastAsia="仿宋_GB2312"/>
        </w:rPr>
        <w:t>档案卷宗随案生成服务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ZY2026-ZB-GK1051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档案卷宗随案生成服务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档案卷宗随案生成服务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采购包1（档案卷宗随案生成服务）：属于专门面向中小企业采购。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2、财务状况报告：提供2024年度或2025年度经审计的完整财务报告或开标日期前三个月内其基本存款账户开户银行出具的资信证明。（如提供资信证明，须同时提供基本存款账户开户许可证或基本账户信息表）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3、税收缴纳证明：提供2025年4月至今已缴纳的至少一个月的税收缴纳证明（时间以税款所属日期为准)，依法免税的单位应提供相关证明材料</w:t>
      </w:r>
    </w:p>
    <w:p>
      <w:pPr>
        <w:pStyle w:val="null3"/>
      </w:pPr>
      <w:r>
        <w:rPr>
          <w:rFonts w:ascii="仿宋_GB2312" w:hAnsi="仿宋_GB2312" w:cs="仿宋_GB2312" w:eastAsia="仿宋_GB2312"/>
        </w:rPr>
        <w:t>4、社会保障资金缴纳证明：提供2025年4月至今已缴存的至少一个月的社会保障资金缴存单据或社保机构开具的社会保险参保缴费情况证明，依法不需要缴纳社会保障资金的单位应提供相关证明材料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5、具备履行合同所必须的设备和专业技术能力：具备履行合同所必须的设备和专业技术能力的书面声明</w:t>
      </w:r>
    </w:p>
    <w:p>
      <w:pPr>
        <w:pStyle w:val="null3"/>
      </w:pPr>
      <w:r>
        <w:rPr>
          <w:rFonts w:ascii="仿宋_GB2312" w:hAnsi="仿宋_GB2312" w:cs="仿宋_GB2312" w:eastAsia="仿宋_GB2312"/>
        </w:rPr>
        <w:t>6、参加政府采购活动前三年内，在经营活动中没有重大违法记录：参加政府采购活动前三年内，在经营活动中没有重大违法记录的书面声明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信用记录：投标人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8、授权委托书：法定代表人授权委托书、被授权人身份证（法定代表人参加投标时,只需提供法定代表人身份证；被授权人参加开标时，需提供投标前三个月至少一个月的基本养老保险参保缴费证明）</w:t>
      </w:r>
    </w:p>
    <w:p>
      <w:pPr>
        <w:pStyle w:val="null3"/>
      </w:pPr>
      <w:r>
        <w:rPr>
          <w:rFonts w:ascii="仿宋_GB2312" w:hAnsi="仿宋_GB2312" w:cs="仿宋_GB2312" w:eastAsia="仿宋_GB2312"/>
        </w:rPr>
        <w:t>9、资质：投标人须具备省级及以上国家保密局颁发的《国家秘密载体印制资质》乙级或以上资质（资质类别为“涉密档案数字化加工”），其中省外乙级资质投标人应当向陕西省保密行政管理部门备案，提供备案证明（甲级资质无需提供）</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西安市未央区人民法院[158]</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未央区浐灞大道2331号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029-88010119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冯丹、张晶、刘英、卫现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采购包1：3,553,400.00元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项目预算金额为基数，参考国家计委颁布《招标代理服务收费管理暂行办法》（计价格[2002]1980号）和国家发展和改革委员会办公厅颁发的《关于招标代理服务收费有关问题的通知》（发改办价格[2003]857号）文件规定执行； 收款账户如下： 收款单位：陕西正翼项目管理咨询有限公司西安分公司 ； 开户银行：中国光大银行股份有限公司西安经济技术开发区支行； 银行账号：78680188000360910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西安市未央区人民法院[158]</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西安市未央区人民法院[158]</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西安市未央区人民法院[158]</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联系人：冯丹</w:t>
      </w:r>
    </w:p>
    <w:p>
      <w:pPr>
        <w:pStyle w:val="null3"/>
      </w:pPr>
      <w:r>
        <w:rPr>
          <w:rFonts w:ascii="仿宋_GB2312" w:hAnsi="仿宋_GB2312" w:cs="仿宋_GB2312" w:eastAsia="仿宋_GB2312"/>
        </w:rPr>
        <w:t>联系电话：029-86210100转607</w:t>
      </w:r>
    </w:p>
    <w:p>
      <w:pPr>
        <w:pStyle w:val="null3"/>
      </w:pPr>
      <w:r>
        <w:rPr>
          <w:rFonts w:ascii="仿宋_GB2312" w:hAnsi="仿宋_GB2312" w:cs="仿宋_GB2312" w:eastAsia="仿宋_GB2312"/>
        </w:rPr>
        <w:t>地址：陕西省西安市西安经济技术开发区凤城五路123号秦创原·软科中心B座11层1101室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档案卷宗随案生成服务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3,553,400.00</w:t>
      </w:r>
    </w:p>
    <w:p>
      <w:pPr>
        <w:pStyle w:val="null3"/>
      </w:pPr>
      <w:r>
        <w:rPr>
          <w:rFonts w:ascii="仿宋_GB2312" w:hAnsi="仿宋_GB2312" w:cs="仿宋_GB2312" w:eastAsia="仿宋_GB2312"/>
        </w:rPr>
        <w:t>采购包最高限价（元）: 3,553,400.00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档案卷宗随案生成服务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3,553,400.00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标的名称：档案卷宗随案生成服务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一、项目概况</w:t>
            </w:r>
          </w:p>
          <w:p>
            <w:pPr>
              <w:pStyle w:val="null3"/>
              <w:ind w:firstLine="400"/>
              <w:jc w:val="both"/>
            </w:pPr>
            <w:r>
              <w:rPr>
                <w:rFonts w:ascii="仿宋_GB2312" w:hAnsi="仿宋_GB2312" w:cs="仿宋_GB2312" w:eastAsia="仿宋_GB2312"/>
              </w:rPr>
              <w:t>服务内容：涵盖法院档案承接保管、组卷排序、页码编写、目录制作与卷皮打印、档案扫描、图像处理、系统挂接、档案装订、封条归档移交、档案上架全流程服务。</w:t>
            </w:r>
          </w:p>
          <w:p>
            <w:pPr>
              <w:pStyle w:val="null3"/>
              <w:ind w:firstLine="400"/>
              <w:jc w:val="both"/>
            </w:pPr>
            <w:r>
              <w:rPr>
                <w:rFonts w:ascii="仿宋_GB2312" w:hAnsi="仿宋_GB2312" w:cs="仿宋_GB2312" w:eastAsia="仿宋_GB2312"/>
              </w:rPr>
              <w:t>服务依据：严格遵循《中华人民共和国档案法》《纸质档案数字化技术规范》（DA/T 31-2017）、陕西省高级人民法院案卷排序及档案管理官方标准、采购方档案管理内部制度执行。</w:t>
            </w:r>
          </w:p>
          <w:p>
            <w:pPr>
              <w:pStyle w:val="null3"/>
              <w:ind w:firstLine="400"/>
              <w:jc w:val="both"/>
            </w:pPr>
            <w:r>
              <w:rPr>
                <w:rFonts w:ascii="仿宋_GB2312" w:hAnsi="仿宋_GB2312" w:cs="仿宋_GB2312" w:eastAsia="仿宋_GB2312"/>
              </w:rPr>
              <w:t>服务原则：全程闭环管理、安全保密优先、质量标准统一、流程可追溯、责任到人。</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b/>
              </w:rPr>
              <w:t>二、 全流程服务要求</w:t>
            </w:r>
          </w:p>
          <w:p>
            <w:pPr>
              <w:pStyle w:val="null3"/>
              <w:ind w:firstLine="400"/>
              <w:jc w:val="both"/>
            </w:pPr>
            <w:r>
              <w:rPr>
                <w:rFonts w:ascii="仿宋_GB2312" w:hAnsi="仿宋_GB2312" w:cs="仿宋_GB2312" w:eastAsia="仿宋_GB2312"/>
              </w:rPr>
              <w:t>2.1 档案保管服务</w:t>
            </w:r>
          </w:p>
          <w:p>
            <w:pPr>
              <w:pStyle w:val="null3"/>
              <w:ind w:firstLine="400"/>
              <w:jc w:val="both"/>
            </w:pPr>
            <w:r>
              <w:rPr>
                <w:rFonts w:ascii="仿宋_GB2312" w:hAnsi="仿宋_GB2312" w:cs="仿宋_GB2312" w:eastAsia="仿宋_GB2312"/>
              </w:rPr>
              <w:t>2.1.1、档案交接闭环管理</w:t>
            </w:r>
          </w:p>
          <w:p>
            <w:pPr>
              <w:pStyle w:val="null3"/>
              <w:ind w:firstLine="400"/>
              <w:jc w:val="both"/>
            </w:pPr>
            <w:r>
              <w:rPr>
                <w:rFonts w:ascii="仿宋_GB2312" w:hAnsi="仿宋_GB2312" w:cs="仿宋_GB2312" w:eastAsia="仿宋_GB2312"/>
              </w:rPr>
              <w:t>2.1.1.1 中标单位指派专职档案管理员对接法院各审判庭书记员，移交时逐册清点档案数量、核验案卷编号、当事人信息、案件类型等基础信息，确保账实相符。</w:t>
            </w:r>
          </w:p>
          <w:p>
            <w:pPr>
              <w:pStyle w:val="null3"/>
              <w:ind w:firstLine="400"/>
              <w:jc w:val="both"/>
            </w:pPr>
            <w:r>
              <w:rPr>
                <w:rFonts w:ascii="仿宋_GB2312" w:hAnsi="仿宋_GB2312" w:cs="仿宋_GB2312" w:eastAsia="仿宋_GB2312"/>
              </w:rPr>
              <w:t>2.1.1.2 规范填写《法院档案交接登记台账》，台账需载明：移交部门、移交人、接收人、移交日期、档案卷数、案号、案件状态、备注，交接双方签字确认，台账纸质版+电子版同步留存，形成完整可追溯凭证。</w:t>
            </w:r>
          </w:p>
          <w:p>
            <w:pPr>
              <w:pStyle w:val="null3"/>
              <w:ind w:firstLine="400"/>
              <w:jc w:val="both"/>
            </w:pPr>
            <w:r>
              <w:rPr>
                <w:rFonts w:ascii="仿宋_GB2312" w:hAnsi="仿宋_GB2312" w:cs="仿宋_GB2312" w:eastAsia="仿宋_GB2312"/>
              </w:rPr>
              <w:t>2.1.1.3 交接完成后，将档案移送至采购方指定专属待加工存放区，实行分类定位、一案一区、有序码放，设置专属存放标识，专人管护。</w:t>
            </w:r>
          </w:p>
          <w:p>
            <w:pPr>
              <w:pStyle w:val="null3"/>
              <w:ind w:firstLine="400"/>
              <w:jc w:val="both"/>
            </w:pPr>
            <w:r>
              <w:rPr>
                <w:rFonts w:ascii="仿宋_GB2312" w:hAnsi="仿宋_GB2312" w:cs="仿宋_GB2312" w:eastAsia="仿宋_GB2312"/>
              </w:rPr>
              <w:t>本项目预计需要30组档案流转柜（120个抽屉/组），中标单位需根据项目进度提供满足档案存放数量的流转柜，流转柜质量须满足档案存放要求。对于五个外派法庭，需要上门取卷宗的中标单位需提供车辆和司机。</w:t>
            </w:r>
          </w:p>
          <w:p>
            <w:pPr>
              <w:pStyle w:val="null3"/>
              <w:ind w:firstLine="400"/>
              <w:jc w:val="both"/>
            </w:pPr>
            <w:r>
              <w:rPr>
                <w:rFonts w:ascii="仿宋_GB2312" w:hAnsi="仿宋_GB2312" w:cs="仿宋_GB2312" w:eastAsia="仿宋_GB2312"/>
              </w:rPr>
              <w:t>2.1.2、新增案卷材料归集</w:t>
            </w:r>
          </w:p>
          <w:p>
            <w:pPr>
              <w:pStyle w:val="null3"/>
              <w:ind w:firstLine="400"/>
              <w:jc w:val="both"/>
            </w:pPr>
            <w:r>
              <w:rPr>
                <w:rFonts w:ascii="仿宋_GB2312" w:hAnsi="仿宋_GB2312" w:cs="仿宋_GB2312" w:eastAsia="仿宋_GB2312"/>
              </w:rPr>
              <w:t>2.1.2.1 作业周期内，接到案件新增材料通知后进行核验，核对材料归属、完整性，精准归入原案件档案盒，确保同案档案集中统一、无散漏、无错放、无缺失。</w:t>
            </w:r>
          </w:p>
          <w:p>
            <w:pPr>
              <w:pStyle w:val="null3"/>
              <w:ind w:firstLine="400"/>
              <w:jc w:val="both"/>
            </w:pPr>
            <w:r>
              <w:rPr>
                <w:rFonts w:ascii="仿宋_GB2312" w:hAnsi="仿宋_GB2312" w:cs="仿宋_GB2312" w:eastAsia="仿宋_GB2312"/>
              </w:rPr>
              <w:t>2.1.2.2 新增材料交接同步登记，更新台账，确保案卷材料连贯性。</w:t>
            </w:r>
          </w:p>
          <w:p>
            <w:pPr>
              <w:pStyle w:val="null3"/>
              <w:ind w:firstLine="400"/>
              <w:jc w:val="both"/>
            </w:pPr>
            <w:r>
              <w:rPr>
                <w:rFonts w:ascii="仿宋_GB2312" w:hAnsi="仿宋_GB2312" w:cs="仿宋_GB2312" w:eastAsia="仿宋_GB2312"/>
              </w:rPr>
              <w:t>2.1.3、档案原件调阅与催还管控</w:t>
            </w:r>
          </w:p>
          <w:p>
            <w:pPr>
              <w:pStyle w:val="null3"/>
              <w:ind w:firstLine="400"/>
              <w:jc w:val="both"/>
            </w:pPr>
            <w:r>
              <w:rPr>
                <w:rFonts w:ascii="仿宋_GB2312" w:hAnsi="仿宋_GB2312" w:cs="仿宋_GB2312" w:eastAsia="仿宋_GB2312"/>
              </w:rPr>
              <w:t>2.1.3.1 接到法官、书记员档案原件调阅申请后精准定位档案，依规办理调阅交接，登记调阅日期、调阅人、约定归档日期、用途，完善《档案调阅台账》。</w:t>
            </w:r>
          </w:p>
          <w:p>
            <w:pPr>
              <w:pStyle w:val="null3"/>
              <w:ind w:firstLine="400"/>
              <w:jc w:val="both"/>
            </w:pPr>
            <w:r>
              <w:rPr>
                <w:rFonts w:ascii="仿宋_GB2312" w:hAnsi="仿宋_GB2312" w:cs="仿宋_GB2312" w:eastAsia="仿宋_GB2312"/>
              </w:rPr>
              <w:t>2.1.3.2 建立逾期催还机制：到期前1天发送书面/系统提醒，逾期未归还的，每日跟进催还，同步报备采购方档案管理部门，全程跟踪归还进度，杜绝档案遗失、损毁、泄密。</w:t>
            </w:r>
          </w:p>
          <w:p>
            <w:pPr>
              <w:pStyle w:val="null3"/>
              <w:ind w:firstLine="400"/>
              <w:jc w:val="both"/>
            </w:pPr>
            <w:r>
              <w:rPr>
                <w:rFonts w:ascii="仿宋_GB2312" w:hAnsi="仿宋_GB2312" w:cs="仿宋_GB2312" w:eastAsia="仿宋_GB2312"/>
              </w:rPr>
              <w:t>2.1.4、安全保密与物理防护</w:t>
            </w:r>
          </w:p>
          <w:p>
            <w:pPr>
              <w:pStyle w:val="null3"/>
              <w:ind w:firstLine="400"/>
              <w:jc w:val="both"/>
            </w:pPr>
            <w:r>
              <w:rPr>
                <w:rFonts w:ascii="仿宋_GB2312" w:hAnsi="仿宋_GB2312" w:cs="仿宋_GB2312" w:eastAsia="仿宋_GB2312"/>
              </w:rPr>
              <w:t>2.1.4.1 待加工区实行封闭管理，非授权人员严禁入内；档案存放配备防潮、防火、防盗、防蛀设施，定期巡检，落实物理安全防护。</w:t>
            </w:r>
          </w:p>
          <w:p>
            <w:pPr>
              <w:pStyle w:val="null3"/>
              <w:ind w:firstLine="400"/>
              <w:jc w:val="both"/>
            </w:pPr>
            <w:r>
              <w:rPr>
                <w:rFonts w:ascii="仿宋_GB2312" w:hAnsi="仿宋_GB2312" w:cs="仿宋_GB2312" w:eastAsia="仿宋_GB2312"/>
              </w:rPr>
              <w:t>2.1.4.2 严禁私自翻阅、复制、传播档案信息，严守审判秘密与档案保密规定。</w:t>
            </w:r>
          </w:p>
          <w:p>
            <w:pPr>
              <w:pStyle w:val="null3"/>
              <w:ind w:firstLine="400"/>
              <w:jc w:val="both"/>
            </w:pPr>
            <w:r>
              <w:rPr>
                <w:rFonts w:ascii="仿宋_GB2312" w:hAnsi="仿宋_GB2312" w:cs="仿宋_GB2312" w:eastAsia="仿宋_GB2312"/>
              </w:rPr>
              <w:t>2.2 档案组卷排序服务</w:t>
            </w:r>
          </w:p>
          <w:p>
            <w:pPr>
              <w:pStyle w:val="null3"/>
              <w:ind w:firstLine="400"/>
              <w:jc w:val="both"/>
            </w:pPr>
            <w:r>
              <w:rPr>
                <w:rFonts w:ascii="仿宋_GB2312" w:hAnsi="仿宋_GB2312" w:cs="仿宋_GB2312" w:eastAsia="仿宋_GB2312"/>
              </w:rPr>
              <w:t>2.2.1、材料完整性确认</w:t>
            </w:r>
          </w:p>
          <w:p>
            <w:pPr>
              <w:pStyle w:val="null3"/>
              <w:ind w:firstLine="400"/>
              <w:jc w:val="both"/>
            </w:pPr>
            <w:r>
              <w:rPr>
                <w:rFonts w:ascii="仿宋_GB2312" w:hAnsi="仿宋_GB2312" w:cs="仿宋_GB2312" w:eastAsia="仿宋_GB2312"/>
              </w:rPr>
              <w:t>整理前主动与案件书记员确认纸质材料是否全量移交，书记员末次移送需备注“本案材料已移送完毕，准予归档”，未确认完整不得启动排序。</w:t>
            </w:r>
          </w:p>
          <w:p>
            <w:pPr>
              <w:pStyle w:val="null3"/>
              <w:ind w:firstLine="400"/>
              <w:jc w:val="both"/>
            </w:pPr>
            <w:r>
              <w:rPr>
                <w:rFonts w:ascii="仿宋_GB2312" w:hAnsi="仿宋_GB2312" w:cs="仿宋_GB2312" w:eastAsia="仿宋_GB2312"/>
              </w:rPr>
              <w:t>2.2.2、规范排序</w:t>
            </w:r>
          </w:p>
          <w:p>
            <w:pPr>
              <w:pStyle w:val="null3"/>
              <w:ind w:firstLine="400"/>
              <w:jc w:val="both"/>
            </w:pPr>
            <w:r>
              <w:rPr>
                <w:rFonts w:ascii="仿宋_GB2312" w:hAnsi="仿宋_GB2312" w:cs="仿宋_GB2312" w:eastAsia="仿宋_GB2312"/>
              </w:rPr>
              <w:t>严格按照陕西省高级人民法院既定案卷排序规范，完成纸质档案系统化排序，排序后自检无颠倒、无错序、无混装。</w:t>
            </w:r>
          </w:p>
          <w:p>
            <w:pPr>
              <w:pStyle w:val="null3"/>
              <w:ind w:firstLine="400"/>
              <w:jc w:val="both"/>
            </w:pPr>
            <w:r>
              <w:rPr>
                <w:rFonts w:ascii="仿宋_GB2312" w:hAnsi="仿宋_GB2312" w:cs="仿宋_GB2312" w:eastAsia="仿宋_GB2312"/>
              </w:rPr>
              <w:t>2.3 页码编写服务</w:t>
            </w:r>
          </w:p>
          <w:p>
            <w:pPr>
              <w:pStyle w:val="null3"/>
              <w:ind w:firstLine="400"/>
              <w:jc w:val="both"/>
            </w:pPr>
            <w:r>
              <w:rPr>
                <w:rFonts w:ascii="仿宋_GB2312" w:hAnsi="仿宋_GB2312" w:cs="仿宋_GB2312" w:eastAsia="仿宋_GB2312"/>
              </w:rPr>
              <w:t>2.3.1、编制标准</w:t>
            </w:r>
          </w:p>
          <w:p>
            <w:pPr>
              <w:pStyle w:val="null3"/>
              <w:ind w:firstLine="400"/>
              <w:jc w:val="both"/>
            </w:pPr>
            <w:r>
              <w:rPr>
                <w:rFonts w:ascii="仿宋_GB2312" w:hAnsi="仿宋_GB2312" w:cs="仿宋_GB2312" w:eastAsia="仿宋_GB2312"/>
              </w:rPr>
              <w:t>以单册档案为独立单元编制页码，字号统一、字迹清晰，标注于页面右上角/左上角距边缘1cm 处，严禁标注在页面中间、文字区域或装订线内。</w:t>
            </w:r>
          </w:p>
          <w:p>
            <w:pPr>
              <w:pStyle w:val="null3"/>
              <w:ind w:firstLine="400"/>
              <w:jc w:val="both"/>
            </w:pPr>
            <w:r>
              <w:rPr>
                <w:rFonts w:ascii="仿宋_GB2312" w:hAnsi="仿宋_GB2312" w:cs="仿宋_GB2312" w:eastAsia="仿宋_GB2312"/>
              </w:rPr>
              <w:t>2.3.2、匹配核对</w:t>
            </w:r>
          </w:p>
          <w:p>
            <w:pPr>
              <w:pStyle w:val="null3"/>
              <w:ind w:firstLine="400"/>
              <w:jc w:val="both"/>
            </w:pPr>
            <w:r>
              <w:rPr>
                <w:rFonts w:ascii="仿宋_GB2312" w:hAnsi="仿宋_GB2312" w:cs="仿宋_GB2312" w:eastAsia="仿宋_GB2312"/>
              </w:rPr>
              <w:t>页码编制方式提前与采购方书面确认，确保纸质档案页码与系统上传文件一一对应、精准匹配，无错编、漏编、重编。</w:t>
            </w:r>
          </w:p>
          <w:p>
            <w:pPr>
              <w:pStyle w:val="null3"/>
              <w:ind w:firstLine="400"/>
              <w:jc w:val="both"/>
            </w:pPr>
            <w:r>
              <w:rPr>
                <w:rFonts w:ascii="仿宋_GB2312" w:hAnsi="仿宋_GB2312" w:cs="仿宋_GB2312" w:eastAsia="仿宋_GB2312"/>
              </w:rPr>
              <w:t>2.3.3、整改要求</w:t>
            </w:r>
          </w:p>
          <w:p>
            <w:pPr>
              <w:pStyle w:val="null3"/>
              <w:ind w:firstLine="400"/>
              <w:jc w:val="both"/>
            </w:pPr>
            <w:r>
              <w:rPr>
                <w:rFonts w:ascii="仿宋_GB2312" w:hAnsi="仿宋_GB2312" w:cs="仿宋_GB2312" w:eastAsia="仿宋_GB2312"/>
              </w:rPr>
              <w:t>页码编写错误需整改，严禁覆盖档案原文，整改后重新核验。</w:t>
            </w:r>
          </w:p>
          <w:p>
            <w:pPr>
              <w:pStyle w:val="null3"/>
              <w:ind w:firstLine="400"/>
              <w:jc w:val="both"/>
            </w:pPr>
            <w:r>
              <w:rPr>
                <w:rFonts w:ascii="仿宋_GB2312" w:hAnsi="仿宋_GB2312" w:cs="仿宋_GB2312" w:eastAsia="仿宋_GB2312"/>
              </w:rPr>
              <w:t>2.3.4、页码需用页码打印机完成，确保字迹清晰牢固。中标单位应按需提供页码打印机及所需耗材。</w:t>
            </w:r>
          </w:p>
          <w:p>
            <w:pPr>
              <w:pStyle w:val="null3"/>
              <w:ind w:firstLine="400"/>
              <w:jc w:val="both"/>
            </w:pPr>
            <w:r>
              <w:rPr>
                <w:rFonts w:ascii="仿宋_GB2312" w:hAnsi="仿宋_GB2312" w:cs="仿宋_GB2312" w:eastAsia="仿宋_GB2312"/>
              </w:rPr>
              <w:t>2.4 补充打印纸质材料、目录制作与卷皮打印服务</w:t>
            </w:r>
          </w:p>
          <w:p>
            <w:pPr>
              <w:pStyle w:val="null3"/>
              <w:ind w:firstLine="400"/>
              <w:jc w:val="both"/>
            </w:pPr>
            <w:r>
              <w:rPr>
                <w:rFonts w:ascii="仿宋_GB2312" w:hAnsi="仿宋_GB2312" w:cs="仿宋_GB2312" w:eastAsia="仿宋_GB2312"/>
              </w:rPr>
              <w:t>2.4.1、补充打印纸质材料</w:t>
            </w:r>
          </w:p>
          <w:p>
            <w:pPr>
              <w:pStyle w:val="null3"/>
              <w:ind w:firstLine="400"/>
              <w:jc w:val="both"/>
            </w:pPr>
            <w:r>
              <w:rPr>
                <w:rFonts w:ascii="仿宋_GB2312" w:hAnsi="仿宋_GB2312" w:cs="仿宋_GB2312" w:eastAsia="仿宋_GB2312"/>
              </w:rPr>
              <w:t>对于系统中生成的电子资料，中标单位需全部打印出来归入纸质卷宗中，如果遇到带有红色章子或者其他必须显示颜色的材料需用彩色打印机打印。中标单位需提供打印纸、打印机及耗材。</w:t>
            </w:r>
          </w:p>
          <w:p>
            <w:pPr>
              <w:pStyle w:val="null3"/>
              <w:ind w:firstLine="400"/>
              <w:jc w:val="both"/>
            </w:pPr>
            <w:r>
              <w:rPr>
                <w:rFonts w:ascii="仿宋_GB2312" w:hAnsi="仿宋_GB2312" w:cs="仿宋_GB2312" w:eastAsia="仿宋_GB2312"/>
              </w:rPr>
              <w:t>2.4.2、目录制作</w:t>
            </w:r>
          </w:p>
          <w:p>
            <w:pPr>
              <w:pStyle w:val="null3"/>
              <w:ind w:firstLine="400"/>
              <w:jc w:val="both"/>
            </w:pPr>
            <w:r>
              <w:rPr>
                <w:rFonts w:ascii="仿宋_GB2312" w:hAnsi="仿宋_GB2312" w:cs="仿宋_GB2312" w:eastAsia="仿宋_GB2312"/>
              </w:rPr>
              <w:t>完整录入案卷信息：当事人信息、合议庭人员、原审法院/案号、收结案时间、一 /二/再审结果、保管期限、密级、材料起止页码等，目录全面反映案件材料，与纸质档案完全一致。</w:t>
            </w:r>
          </w:p>
          <w:p>
            <w:pPr>
              <w:pStyle w:val="null3"/>
              <w:ind w:firstLine="400"/>
              <w:jc w:val="both"/>
            </w:pPr>
            <w:r>
              <w:rPr>
                <w:rFonts w:ascii="仿宋_GB2312" w:hAnsi="仿宋_GB2312" w:cs="仿宋_GB2312" w:eastAsia="仿宋_GB2312"/>
              </w:rPr>
              <w:t>目录格式符合采购方要求，电子版同步存档，便于检索。</w:t>
            </w:r>
          </w:p>
          <w:p>
            <w:pPr>
              <w:pStyle w:val="null3"/>
              <w:ind w:firstLine="400"/>
              <w:jc w:val="both"/>
            </w:pPr>
            <w:r>
              <w:rPr>
                <w:rFonts w:ascii="仿宋_GB2312" w:hAnsi="仿宋_GB2312" w:cs="仿宋_GB2312" w:eastAsia="仿宋_GB2312"/>
              </w:rPr>
              <w:t>2.4.3、卷皮打印</w:t>
            </w:r>
          </w:p>
          <w:p>
            <w:pPr>
              <w:pStyle w:val="null3"/>
              <w:ind w:firstLine="400"/>
              <w:jc w:val="both"/>
            </w:pPr>
            <w:r>
              <w:rPr>
                <w:rFonts w:ascii="仿宋_GB2312" w:hAnsi="仿宋_GB2312" w:cs="仿宋_GB2312" w:eastAsia="仿宋_GB2312"/>
              </w:rPr>
              <w:t>打印前双人核对卷皮信息（案件名称、案号、案由、当事人、审理法院、归档日期等），确保无错漏、无歧义。</w:t>
            </w:r>
          </w:p>
          <w:p>
            <w:pPr>
              <w:pStyle w:val="null3"/>
              <w:ind w:firstLine="400"/>
              <w:jc w:val="both"/>
            </w:pPr>
            <w:r>
              <w:rPr>
                <w:rFonts w:ascii="仿宋_GB2312" w:hAnsi="仿宋_GB2312" w:cs="仿宋_GB2312" w:eastAsia="仿宋_GB2312"/>
              </w:rPr>
              <w:t>选用档案长期保存专用纸张，打印字迹清晰、牢固、不褪色、不模糊；打印后整齐粘贴/装订于卷宗封面，平整牢固、便于识别查阅。</w:t>
            </w:r>
          </w:p>
          <w:p>
            <w:pPr>
              <w:pStyle w:val="null3"/>
              <w:ind w:firstLine="400"/>
              <w:jc w:val="both"/>
            </w:pPr>
            <w:r>
              <w:rPr>
                <w:rFonts w:ascii="仿宋_GB2312" w:hAnsi="仿宋_GB2312" w:cs="仿宋_GB2312" w:eastAsia="仿宋_GB2312"/>
              </w:rPr>
              <w:t>中标单位应按需提供卷皮打印机及所需耗材，卷皮打印机需能满足120G牛皮纸卷皮的打印要求。</w:t>
            </w:r>
          </w:p>
          <w:p>
            <w:pPr>
              <w:pStyle w:val="null3"/>
              <w:ind w:firstLine="400"/>
              <w:jc w:val="both"/>
            </w:pPr>
            <w:r>
              <w:rPr>
                <w:rFonts w:ascii="仿宋_GB2312" w:hAnsi="仿宋_GB2312" w:cs="仿宋_GB2312" w:eastAsia="仿宋_GB2312"/>
              </w:rPr>
              <w:t>2.5 档案扫描、图像处理、系统挂接服务</w:t>
            </w:r>
          </w:p>
          <w:p>
            <w:pPr>
              <w:pStyle w:val="null3"/>
              <w:ind w:firstLine="400"/>
              <w:jc w:val="both"/>
            </w:pPr>
            <w:r>
              <w:rPr>
                <w:rFonts w:ascii="仿宋_GB2312" w:hAnsi="仿宋_GB2312" w:cs="仿宋_GB2312" w:eastAsia="仿宋_GB2312"/>
              </w:rPr>
              <w:t>2.5.1、档案扫描</w:t>
            </w:r>
          </w:p>
          <w:p>
            <w:pPr>
              <w:pStyle w:val="null3"/>
              <w:ind w:firstLine="400"/>
              <w:jc w:val="both"/>
            </w:pPr>
            <w:r>
              <w:rPr>
                <w:rFonts w:ascii="仿宋_GB2312" w:hAnsi="仿宋_GB2312" w:cs="仿宋_GB2312" w:eastAsia="仿宋_GB2312"/>
              </w:rPr>
              <w:t>根据材料幅面、内容选择专业档案扫描仪，扫描分辨率 ≥300dpi，文件格式支持 JPEG、TIFF、PDF，色彩与实体卷宗完全一致（黑白/彩色）。</w:t>
            </w:r>
          </w:p>
          <w:p>
            <w:pPr>
              <w:pStyle w:val="null3"/>
              <w:ind w:firstLine="400"/>
              <w:jc w:val="both"/>
            </w:pPr>
            <w:r>
              <w:rPr>
                <w:rFonts w:ascii="仿宋_GB2312" w:hAnsi="仿宋_GB2312" w:cs="仿宋_GB2312" w:eastAsia="仿宋_GB2312"/>
              </w:rPr>
              <w:t>扫描质量：无字迹变形、模糊、洇透、深浅不一、影像底色、纸面扭曲，完整还原档案原貌。</w:t>
            </w:r>
          </w:p>
          <w:p>
            <w:pPr>
              <w:pStyle w:val="null3"/>
              <w:ind w:firstLine="400"/>
              <w:jc w:val="both"/>
            </w:pPr>
            <w:r>
              <w:rPr>
                <w:rFonts w:ascii="仿宋_GB2312" w:hAnsi="仿宋_GB2312" w:cs="仿宋_GB2312" w:eastAsia="仿宋_GB2312"/>
              </w:rPr>
              <w:t>2.5.2、图像处理</w:t>
            </w:r>
          </w:p>
          <w:p>
            <w:pPr>
              <w:pStyle w:val="null3"/>
              <w:ind w:firstLine="400"/>
              <w:jc w:val="both"/>
            </w:pPr>
            <w:r>
              <w:rPr>
                <w:rFonts w:ascii="仿宋_GB2312" w:hAnsi="仿宋_GB2312" w:cs="仿宋_GB2312" w:eastAsia="仿宋_GB2312"/>
              </w:rPr>
              <w:t>图像纠偏：偏斜度≤3度，倒置图像旋转还原，符合阅读习惯。</w:t>
            </w:r>
          </w:p>
          <w:p>
            <w:pPr>
              <w:pStyle w:val="null3"/>
              <w:ind w:firstLine="400"/>
              <w:jc w:val="both"/>
            </w:pPr>
            <w:r>
              <w:rPr>
                <w:rFonts w:ascii="仿宋_GB2312" w:hAnsi="仿宋_GB2312" w:cs="仿宋_GB2312" w:eastAsia="仿宋_GB2312"/>
              </w:rPr>
              <w:t>图像拼接：大幅面材料精准拼接，信息无缺失、无错位。</w:t>
            </w:r>
          </w:p>
          <w:p>
            <w:pPr>
              <w:pStyle w:val="null3"/>
              <w:ind w:firstLine="400"/>
              <w:jc w:val="both"/>
            </w:pPr>
            <w:r>
              <w:rPr>
                <w:rFonts w:ascii="仿宋_GB2312" w:hAnsi="仿宋_GB2312" w:cs="仿宋_GB2312" w:eastAsia="仿宋_GB2312"/>
              </w:rPr>
              <w:t>图像优化：去除黑点、黑线、黑框、黑边、多余白边，不修改档案原文，保持卷宗原貌，确保每页清晰可读、页面整洁。</w:t>
            </w:r>
          </w:p>
          <w:p>
            <w:pPr>
              <w:pStyle w:val="null3"/>
              <w:ind w:firstLine="400"/>
              <w:jc w:val="both"/>
            </w:pPr>
            <w:r>
              <w:rPr>
                <w:rFonts w:ascii="仿宋_GB2312" w:hAnsi="仿宋_GB2312" w:cs="仿宋_GB2312" w:eastAsia="仿宋_GB2312"/>
              </w:rPr>
              <w:t>2.5.3、系统挂接</w:t>
            </w:r>
          </w:p>
          <w:p>
            <w:pPr>
              <w:pStyle w:val="null3"/>
              <w:ind w:firstLine="400"/>
              <w:jc w:val="both"/>
            </w:pPr>
            <w:r>
              <w:rPr>
                <w:rFonts w:ascii="仿宋_GB2312" w:hAnsi="仿宋_GB2312" w:cs="仿宋_GB2312" w:eastAsia="仿宋_GB2312"/>
              </w:rPr>
              <w:t>在采购方档案管理系统电子目录下，精准挂接对应图像数据，目录名称与材料内容一一匹配，挂接数据完整、目录信息准确，无漏挂、错挂、重挂。</w:t>
            </w:r>
          </w:p>
          <w:p>
            <w:pPr>
              <w:pStyle w:val="null3"/>
              <w:ind w:firstLine="400"/>
              <w:jc w:val="both"/>
            </w:pPr>
            <w:r>
              <w:rPr>
                <w:rFonts w:ascii="仿宋_GB2312" w:hAnsi="仿宋_GB2312" w:cs="仿宋_GB2312" w:eastAsia="仿宋_GB2312"/>
              </w:rPr>
              <w:t>2.6 档案装订服务</w:t>
            </w:r>
          </w:p>
          <w:p>
            <w:pPr>
              <w:pStyle w:val="null3"/>
              <w:ind w:firstLine="400"/>
              <w:jc w:val="both"/>
            </w:pPr>
            <w:r>
              <w:rPr>
                <w:rFonts w:ascii="仿宋_GB2312" w:hAnsi="仿宋_GB2312" w:cs="仿宋_GB2312" w:eastAsia="仿宋_GB2312"/>
              </w:rPr>
              <w:t>2.6.1、前置核验</w:t>
            </w:r>
          </w:p>
          <w:p>
            <w:pPr>
              <w:pStyle w:val="null3"/>
              <w:ind w:firstLine="400"/>
              <w:jc w:val="both"/>
            </w:pPr>
            <w:r>
              <w:rPr>
                <w:rFonts w:ascii="仿宋_GB2312" w:hAnsi="仿宋_GB2312" w:cs="仿宋_GB2312" w:eastAsia="仿宋_GB2312"/>
              </w:rPr>
              <w:t>装订前双人核验：电子卷宗顺序、内容与纸质档案页码、材料完全一致，不一致不得装订。</w:t>
            </w:r>
          </w:p>
          <w:p>
            <w:pPr>
              <w:pStyle w:val="null3"/>
              <w:ind w:firstLine="400"/>
              <w:jc w:val="both"/>
            </w:pPr>
            <w:r>
              <w:rPr>
                <w:rFonts w:ascii="仿宋_GB2312" w:hAnsi="仿宋_GB2312" w:cs="仿宋_GB2312" w:eastAsia="仿宋_GB2312"/>
              </w:rPr>
              <w:t>2.6.2、装订规范</w:t>
            </w:r>
          </w:p>
          <w:p>
            <w:pPr>
              <w:pStyle w:val="null3"/>
              <w:ind w:firstLine="400"/>
              <w:jc w:val="both"/>
            </w:pPr>
            <w:r>
              <w:rPr>
                <w:rFonts w:ascii="仿宋_GB2312" w:hAnsi="仿宋_GB2312" w:cs="仿宋_GB2312" w:eastAsia="仿宋_GB2312"/>
              </w:rPr>
              <w:t>单卷页码 ≤200 页，超页分卷装订，符合归档标准。</w:t>
            </w:r>
          </w:p>
          <w:p>
            <w:pPr>
              <w:pStyle w:val="null3"/>
              <w:ind w:firstLine="400"/>
              <w:jc w:val="both"/>
            </w:pPr>
            <w:r>
              <w:rPr>
                <w:rFonts w:ascii="仿宋_GB2312" w:hAnsi="仿宋_GB2312" w:cs="仿宋_GB2312" w:eastAsia="仿宋_GB2312"/>
              </w:rPr>
              <w:t>规范制作/打印卷内目录，按纸质厚度折制适配卷脊（30页以下免折）。</w:t>
            </w:r>
          </w:p>
          <w:p>
            <w:pPr>
              <w:pStyle w:val="null3"/>
              <w:ind w:firstLine="400"/>
              <w:jc w:val="both"/>
            </w:pPr>
            <w:r>
              <w:rPr>
                <w:rFonts w:ascii="仿宋_GB2312" w:hAnsi="仿宋_GB2312" w:cs="仿宋_GB2312" w:eastAsia="仿宋_GB2312"/>
              </w:rPr>
              <w:t>采用线绳四等分三孔左侧装订法，装订后整齐、牢固、不脱页、不损坏档案。</w:t>
            </w:r>
          </w:p>
          <w:p>
            <w:pPr>
              <w:pStyle w:val="null3"/>
              <w:ind w:firstLine="400"/>
              <w:jc w:val="both"/>
            </w:pPr>
            <w:r>
              <w:rPr>
                <w:rFonts w:ascii="仿宋_GB2312" w:hAnsi="仿宋_GB2312" w:cs="仿宋_GB2312" w:eastAsia="仿宋_GB2312"/>
              </w:rPr>
              <w:t>2.6.3、质量要求</w:t>
            </w:r>
          </w:p>
          <w:p>
            <w:pPr>
              <w:pStyle w:val="null3"/>
              <w:ind w:firstLine="400"/>
              <w:jc w:val="both"/>
            </w:pPr>
            <w:r>
              <w:rPr>
                <w:rFonts w:ascii="仿宋_GB2312" w:hAnsi="仿宋_GB2312" w:cs="仿宋_GB2312" w:eastAsia="仿宋_GB2312"/>
              </w:rPr>
              <w:t>案卷无多页、缺页、掉页、倒置、混装；</w:t>
            </w:r>
          </w:p>
          <w:p>
            <w:pPr>
              <w:pStyle w:val="null3"/>
              <w:ind w:firstLine="400"/>
              <w:jc w:val="both"/>
            </w:pPr>
            <w:r>
              <w:rPr>
                <w:rFonts w:ascii="仿宋_GB2312" w:hAnsi="仿宋_GB2312" w:cs="仿宋_GB2312" w:eastAsia="仿宋_GB2312"/>
              </w:rPr>
              <w:t>页面干净、无污物、折角、毛茬、缺损。</w:t>
            </w:r>
          </w:p>
          <w:p>
            <w:pPr>
              <w:pStyle w:val="null3"/>
              <w:ind w:firstLine="400"/>
              <w:jc w:val="both"/>
            </w:pPr>
            <w:r>
              <w:rPr>
                <w:rFonts w:ascii="仿宋_GB2312" w:hAnsi="仿宋_GB2312" w:cs="仿宋_GB2312" w:eastAsia="仿宋_GB2312"/>
              </w:rPr>
              <w:t>2.7 粘贴封条、归档、移交服务</w:t>
            </w:r>
          </w:p>
          <w:p>
            <w:pPr>
              <w:pStyle w:val="null3"/>
              <w:ind w:firstLine="400"/>
              <w:jc w:val="both"/>
            </w:pPr>
            <w:r>
              <w:rPr>
                <w:rFonts w:ascii="仿宋_GB2312" w:hAnsi="仿宋_GB2312" w:cs="仿宋_GB2312" w:eastAsia="仿宋_GB2312"/>
              </w:rPr>
              <w:t>2.7.1、封条粘贴</w:t>
            </w:r>
          </w:p>
          <w:p>
            <w:pPr>
              <w:pStyle w:val="null3"/>
              <w:ind w:firstLine="400"/>
              <w:jc w:val="both"/>
            </w:pPr>
            <w:r>
              <w:rPr>
                <w:rFonts w:ascii="仿宋_GB2312" w:hAnsi="仿宋_GB2312" w:cs="仿宋_GB2312" w:eastAsia="仿宋_GB2312"/>
              </w:rPr>
              <w:t>装订完成后，在卷宗背面沿边缘粘贴归档封条，加盖骑缝章，封条平整、无破损。</w:t>
            </w:r>
          </w:p>
          <w:p>
            <w:pPr>
              <w:pStyle w:val="null3"/>
              <w:ind w:firstLine="400"/>
              <w:jc w:val="both"/>
            </w:pPr>
            <w:r>
              <w:rPr>
                <w:rFonts w:ascii="仿宋_GB2312" w:hAnsi="仿宋_GB2312" w:cs="仿宋_GB2312" w:eastAsia="仿宋_GB2312"/>
              </w:rPr>
              <w:t>2.7.2、归档盖章</w:t>
            </w:r>
          </w:p>
          <w:p>
            <w:pPr>
              <w:pStyle w:val="null3"/>
              <w:ind w:firstLine="400"/>
              <w:jc w:val="both"/>
            </w:pPr>
            <w:r>
              <w:rPr>
                <w:rFonts w:ascii="仿宋_GB2312" w:hAnsi="仿宋_GB2312" w:cs="仿宋_GB2312" w:eastAsia="仿宋_GB2312"/>
              </w:rPr>
              <w:t>在案卷正页右上角沿边线规范加盖归档章，填写清晰、位置统一。</w:t>
            </w:r>
          </w:p>
          <w:p>
            <w:pPr>
              <w:pStyle w:val="null3"/>
              <w:ind w:firstLine="400"/>
              <w:jc w:val="both"/>
            </w:pPr>
            <w:r>
              <w:rPr>
                <w:rFonts w:ascii="仿宋_GB2312" w:hAnsi="仿宋_GB2312" w:cs="仿宋_GB2312" w:eastAsia="仿宋_GB2312"/>
              </w:rPr>
              <w:t>2.7.3、登记移交</w:t>
            </w:r>
          </w:p>
          <w:p>
            <w:pPr>
              <w:pStyle w:val="null3"/>
              <w:ind w:firstLine="400"/>
              <w:jc w:val="both"/>
            </w:pPr>
            <w:r>
              <w:rPr>
                <w:rFonts w:ascii="仿宋_GB2312" w:hAnsi="仿宋_GB2312" w:cs="仿宋_GB2312" w:eastAsia="仿宋_GB2312"/>
              </w:rPr>
              <w:t>准确填写归档收案登记信息，经采购方档案室核验合格后，履行盖章签收手续；查验通过后移交采购方确认接收，完成闭环。</w:t>
            </w:r>
          </w:p>
          <w:p>
            <w:pPr>
              <w:pStyle w:val="null3"/>
              <w:ind w:firstLine="400"/>
              <w:jc w:val="both"/>
            </w:pPr>
            <w:r>
              <w:rPr>
                <w:rFonts w:ascii="仿宋_GB2312" w:hAnsi="仿宋_GB2312" w:cs="仿宋_GB2312" w:eastAsia="仿宋_GB2312"/>
              </w:rPr>
              <w:t>2.8 档案上架服务</w:t>
            </w:r>
          </w:p>
          <w:p>
            <w:pPr>
              <w:pStyle w:val="null3"/>
              <w:ind w:firstLine="400"/>
              <w:jc w:val="both"/>
            </w:pPr>
            <w:r>
              <w:rPr>
                <w:rFonts w:ascii="仿宋_GB2312" w:hAnsi="仿宋_GB2312" w:cs="仿宋_GB2312" w:eastAsia="仿宋_GB2312"/>
              </w:rPr>
              <w:t>档案加工完成后及时完成上架作业；每次入库调卷或上架完毕，须将开启的密集架按组复位，保障档案密集架安全、规范、合理使用。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b/>
              </w:rPr>
              <w:t>三、其他</w:t>
            </w:r>
          </w:p>
          <w:p>
            <w:pPr>
              <w:pStyle w:val="null3"/>
              <w:ind w:firstLine="400"/>
              <w:jc w:val="both"/>
            </w:pPr>
            <w:r>
              <w:rPr>
                <w:rFonts w:ascii="仿宋_GB2312" w:hAnsi="仿宋_GB2312" w:cs="仿宋_GB2312" w:eastAsia="仿宋_GB2312"/>
              </w:rPr>
              <w:t>1）本项目以综合单价报价形式进行报价，单价报价是投标人为完成本项目要求的全部服务（含为完成服务提供的货物及验收）内容最终价格的体现。对本文件未列明，而投标人认为必需的费用也需考虑在投标报价中。投标人所报的价格应考虑到可能发生的所有与完成本项目相关服务及履行合同义务有关的一切费用，任何有选择的报价将不予接受，按无效投标处理。</w:t>
            </w:r>
          </w:p>
          <w:p>
            <w:pPr>
              <w:pStyle w:val="null3"/>
              <w:ind w:firstLine="400"/>
              <w:jc w:val="both"/>
            </w:pPr>
            <w:r>
              <w:rPr>
                <w:rFonts w:ascii="仿宋_GB2312" w:hAnsi="仿宋_GB2312" w:cs="仿宋_GB2312" w:eastAsia="仿宋_GB2312"/>
              </w:rPr>
              <w:t>2）中标单位为完成本项目所提供的打印机及耗材所有权归服务商所有。</w:t>
            </w:r>
          </w:p>
          <w:p>
            <w:pPr>
              <w:pStyle w:val="null3"/>
            </w:pPr>
            <w:r>
              <w:rPr>
                <w:rFonts w:ascii="仿宋_GB2312" w:hAnsi="仿宋_GB2312" w:cs="仿宋_GB2312" w:eastAsia="仿宋_GB2312"/>
              </w:rPr>
              <w:t xml:space="preserve">   3）中标单位需提供档案流转柜，且流转柜所有权归采购人所有。</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由采购人和中标人共同对项目进行整体验收。其内容包括是否按照采购人要求进行服务、是否在规定时间内服务完毕。 其他事项： 1、验收合格后，填写政府采购项目验收单作为对本服务的最终认可。 2、服务商向采购人提供服务过程中的所有资料,以便采购人日后管理。 3、验收依据 3.1招标文件、投标文件、澄清表（函）； 3.2本合同及附件文本； 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2026年9月30日前</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2026年12月25日前</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按《中华人民共和国民法典》中的相关条款执行。2.未按合同要求提供服务或服务质量不能满足本次采购要求，甲方会同监督机构、采购代理机构有权终止合同和对乙方违约行为进行追究，同时按有关规定进行相应的处罚。（二）合同争议解决的方式：本合同在履行过程中发生的争议，由甲、乙双方当事人协商解决，协商不成的按下列第2种方式解决：1.提交西安仲裁委员会仲裁；2.依法向有管辖权的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3.5.1安全责任:中标单位应对其工作人员在现场工作期间的一切行为负责，如安全事故责任及因此发生的人身损害赔偿和其它费用由乙方承担。 3.5.2保密条款:(1)中标单位应严格遵守采购单位有关保密规定，不得泄漏一切机密;(2)在技术服务期间，中标单位对接触到的有关采购单位商业活动、技术情报和技术资料等文件进行保密。3.5.3采购人根据中标人的中标单价，结合实际工作量据实结算最终支付金额；根据实际电子卷宗随案同步生成单价乘以数量结算实际服务费用，最终款项金额达到预算金额，即合同终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 中按要求填写《投标函》完成承 诺并进行电子签章。</w:t>
            </w:r>
          </w:p>
        </w:tc>
        <w:tc>
          <w:tcPr>
            <w:tcW w:type="dxa" w:w="1661"/>
          </w:tcPr>
          <w:p>
            <w:pPr>
              <w:pStyle w:val="null3"/>
            </w:pPr>
            <w:r>
              <w:rPr>
                <w:rFonts w:ascii="仿宋_GB2312" w:hAnsi="仿宋_GB2312" w:cs="仿宋_GB2312" w:eastAsia="仿宋_GB2312"/>
              </w:rPr>
              <w:t>投标函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提供2024年度或2025年度经审计的完整财务报告或开标日期前三个月内其基本存款账户开户银行出具的资信证明。（如提供资信证明，须同时提供基本存款账户开户许可证或基本账户信息表）。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 中按要求填写《投标函》完成承 诺并进行电子签章。</w:t>
            </w:r>
          </w:p>
        </w:tc>
        <w:tc>
          <w:tcPr>
            <w:tcW w:type="dxa" w:w="1661"/>
          </w:tcPr>
          <w:p>
            <w:pPr>
              <w:pStyle w:val="null3"/>
            </w:pPr>
            <w:r>
              <w:rPr>
                <w:rFonts w:ascii="仿宋_GB2312" w:hAnsi="仿宋_GB2312" w:cs="仿宋_GB2312" w:eastAsia="仿宋_GB2312"/>
              </w:rPr>
              <w:t>投标函 其他附件.docx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提供2024年度或2025年度经审计的完整财务报告或开标日期前三个月内其基本存款账户开户银行出具的资信证明。（如提供资信证明，须同时提供基本存款账户开户许可证或基本账户信息表）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提供2025年4月至今已缴纳的至少一个月的税收缴纳证明（时间以税款所属日期为准)，依法免税的单位应提供相关证明材料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具备履行合同所必须的设备和专业技术能力</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法定代表人授权委托书、被授权人身份证（法定代表人参加投标时,只需提供法定代表人身份证；被授权人参加开标时，需提供投标前三个月至少一个月的基本养老保险参保缴费证明）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人须具备省级及以上国家保密局颁发的《国家秘密载体印制资质》乙级或以上资质（资质类别为“涉密档案数字化加工”），其中省外乙级资质投标人应当向陕西省保密行政管理部门备案，提供备案证明（甲级资质无需提供）</w:t>
            </w:r>
          </w:p>
        </w:tc>
        <w:tc>
          <w:tcPr>
            <w:tcW w:type="dxa" w:w="1661"/>
          </w:tcPr>
          <w:p>
            <w:pPr>
              <w:pStyle w:val="null3"/>
            </w:pPr>
            <w:r>
              <w:rPr>
                <w:rFonts w:ascii="仿宋_GB2312" w:hAnsi="仿宋_GB2312" w:cs="仿宋_GB2312" w:eastAsia="仿宋_GB2312"/>
              </w:rPr>
              <w:t>其他附件.docx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在评标过程中，有下列情形之一的，评标委员会将启动异常低价投标（响应）审查程序：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3.投标（响应）报价低于采购项目最高限价45%的，即投标（响应）报价&lt;采购项目最高限价×45%； 4.评标委员会基于专业判断，认为投标人报价过低，有可能影响产品质量或者不能诚信履约的其他情形。 有以上情形的，投标人在接到通知时间起30分钟内提交书面说明（未在规定时间内提交书面说明的按低于成本价，无效投标处理），书面说明应当按照国家财务会计制度的规定要求，逐项就投标人提供的货物、工程和服务的主营业务成本（应根据投标人企业类型予以区别）、税金及附加、销售费用、管理费用、财务费用等成本构成事项详细陈述。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投标文件封面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投标文件构成无重大缺项（详细评审除外），按照招标文件要求的格式编写投标文件</w:t>
            </w:r>
          </w:p>
        </w:tc>
        <w:tc>
          <w:tcPr>
            <w:tcW w:type="dxa" w:w="1661"/>
          </w:tcPr>
          <w:p>
            <w:pPr>
              <w:pStyle w:val="null3"/>
            </w:pPr>
            <w:r>
              <w:rPr>
                <w:rFonts w:ascii="仿宋_GB2312" w:hAnsi="仿宋_GB2312" w:cs="仿宋_GB2312" w:eastAsia="仿宋_GB2312"/>
              </w:rPr>
              <w:t>开标一览表 投标函 标的清单 投标文件封面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报价唯一，且没有低于成本价或高于最高限价的</w:t>
            </w:r>
          </w:p>
        </w:tc>
        <w:tc>
          <w:tcPr>
            <w:tcW w:type="dxa" w:w="1661"/>
          </w:tcPr>
          <w:p>
            <w:pPr>
              <w:pStyle w:val="null3"/>
            </w:pPr>
            <w:r>
              <w:rPr>
                <w:rFonts w:ascii="仿宋_GB2312" w:hAnsi="仿宋_GB2312" w:cs="仿宋_GB2312" w:eastAsia="仿宋_GB2312"/>
              </w:rPr>
              <w:t>开标一览表 投标函 标的清单 投标文件封面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投标文件的签署、盖章符合招标文件要求，投标人递交的投标文件与本项目名称一致</w:t>
            </w:r>
          </w:p>
        </w:tc>
        <w:tc>
          <w:tcPr>
            <w:tcW w:type="dxa" w:w="1661"/>
          </w:tcPr>
          <w:p>
            <w:pPr>
              <w:pStyle w:val="null3"/>
            </w:pPr>
            <w:r>
              <w:rPr>
                <w:rFonts w:ascii="仿宋_GB2312" w:hAnsi="仿宋_GB2312" w:cs="仿宋_GB2312" w:eastAsia="仿宋_GB2312"/>
              </w:rPr>
              <w:t>开标一览表 投标函 标的清单 投标文件封面 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投标有效期、委托期限</w:t>
            </w:r>
          </w:p>
        </w:tc>
        <w:tc>
          <w:tcPr>
            <w:tcW w:type="dxa" w:w="3322"/>
          </w:tcPr>
          <w:p>
            <w:pPr>
              <w:pStyle w:val="null3"/>
            </w:pPr>
            <w:r>
              <w:rPr>
                <w:rFonts w:ascii="仿宋_GB2312" w:hAnsi="仿宋_GB2312" w:cs="仿宋_GB2312" w:eastAsia="仿宋_GB2312"/>
              </w:rPr>
              <w:t>文件递交截止之日起90天</w:t>
            </w:r>
          </w:p>
        </w:tc>
        <w:tc>
          <w:tcPr>
            <w:tcW w:type="dxa" w:w="1661"/>
          </w:tcPr>
          <w:p>
            <w:pPr>
              <w:pStyle w:val="null3"/>
            </w:pPr>
            <w:r>
              <w:rPr>
                <w:rFonts w:ascii="仿宋_GB2312" w:hAnsi="仿宋_GB2312" w:cs="仿宋_GB2312" w:eastAsia="仿宋_GB2312"/>
              </w:rPr>
              <w:t>开标一览表 投标函 标的清单 投标文件封面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开标一览表 投标函 标的清单 投标文件封面 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无招标文件中规定的无效情形</w:t>
            </w:r>
          </w:p>
        </w:tc>
        <w:tc>
          <w:tcPr>
            <w:tcW w:type="dxa" w:w="1661"/>
          </w:tcPr>
          <w:p>
            <w:pPr>
              <w:pStyle w:val="null3"/>
            </w:pPr>
            <w:r>
              <w:rPr>
                <w:rFonts w:ascii="仿宋_GB2312" w:hAnsi="仿宋_GB2312" w:cs="仿宋_GB2312" w:eastAsia="仿宋_GB2312"/>
              </w:rPr>
              <w:t>开标一览表 投标函 标的清单 投标文件封面 其他附件.docx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w:t>
            </w:r>
          </w:p>
        </w:tc>
        <w:tc>
          <w:tcPr>
            <w:tcW w:type="dxa" w:w="2492"/>
          </w:tcPr>
          <w:p>
            <w:pPr>
              <w:pStyle w:val="null3"/>
            </w:pPr>
            <w:r>
              <w:rPr>
                <w:rFonts w:ascii="仿宋_GB2312" w:hAnsi="仿宋_GB2312" w:cs="仿宋_GB2312" w:eastAsia="仿宋_GB2312"/>
              </w:rPr>
              <w:t>区间分值0-6分 评审标准细化内容： 投标人对项目的理解，内容包含①项目背景及解读②项目基本情况分析。 评审标准量化内容： 前述要求的内容均有描述且符合本项目要求的得6分；每缺少一个内容扣3分，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区间分值0-24分 评审标准细化内容： 投标人根据本项目采购内容及要求，提供相应的实施方案，内容包含①整体服务方案②实施流程③档案出库交接方案④档案扫描前整理方案⑤档案扫描方案⑥图像处理方案⑦异常情况处理方案⑧项目验收及移交方案。 评审标准量化内容： 前述要求的内容均有描述且符合本项目要求的得24分；每缺少一个内容扣3分，扣完为止；每有一项要求的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区间分值0-6分 评审标准细化内容： 投标人提供针对本项目的进度计划，内容包含①进度计划安排②进度计划保障措施。 评审标准量化内容： 前述要求的内容均有描述且符合本项目要求的得6分；每缺少一个内容扣3分，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重难点分析及解决措施</w:t>
            </w:r>
          </w:p>
        </w:tc>
        <w:tc>
          <w:tcPr>
            <w:tcW w:type="dxa" w:w="2492"/>
          </w:tcPr>
          <w:p>
            <w:pPr>
              <w:pStyle w:val="null3"/>
            </w:pPr>
            <w:r>
              <w:rPr>
                <w:rFonts w:ascii="仿宋_GB2312" w:hAnsi="仿宋_GB2312" w:cs="仿宋_GB2312" w:eastAsia="仿宋_GB2312"/>
              </w:rPr>
              <w:t>区间分值0-10分 评审标准细化内容： 投标人提供针对本项目的重难点分析及解决措施，内容包含①针对本项目的重难点分析（本项3分）②重难点分析后的预防措施（本项3分）③重难点问题出现后的解决措施（本项4分）。 评审标准量化内容： 前述要求的内容均有描述且符合本项目要求的得10分；每缺少一个内容扣对应分值，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区间分值0-6分 评审标准细化内容： 投标人的质量保证方案，内容包括①质量管理体系②质量保障措施及手段。 评审标准量化内容： 前述要求的内容均有描述且符合本项目要求的得6分；每缺少一个内容扣3分，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区间分值0-12分 评审标准细化内容： 投标人的保密方案，内容包括①对档案实体的保密措施②对档案电子数据的保密措施③档案加工过程、保管归还保密制度④人员安全保密管理措施。 评审标准量化内容： 前述要求的内容均有描述且符合本项目要求的得12分；每缺少一个内容扣3分，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区间分值0-6分 评审标准细化内容： 投标人针对本项目采购需求，制定相应的管理制度。内容包括①现场服务工作纪律②现场办公制度③工作汇报制度。 评审标准量化内容： 前述要求的内容均有描述且符合本项目要求的得6分；每缺少一个内容扣2分，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区间分值：0-4分 1.具有档案相关专业培训合格证书，得2分； 2.具有省级及以上保密部门颁发的秘密载体印制资质培训证书，得2分； 注： (1)提供项目负责人相关证书及身份证扫描件； (2)提供开标前三个月任意一个月投标人为其缴纳的社保证明扫描件，未提供或提供不全的，本项整体不得分。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区间分值：0-6分 投标人针对本项目采购需求，制定相应的人员配置方案，人员配置中（不含项目负责人）： 每具有1个档案相关专业培训合格证书，得1.5分，最高的得3分； 具有1个省级及以上保密部门颁发的秘密载体印制资质培训证书，得1.5分，最高的得3分； 注： (1)提供开标前三个月任意一个月投标人为人员缴纳的社保证明扫描件，未提供或提供不全的人员为无效人员，无效人员不得分； (2)同一人员同时具有档案专业培训合格证书和保密专业培训合格证书，不能重复计分。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区间分值0-4分 评审标准细化内容： 投标人针对本项目采购需求，制定相应的售后服务方案。内容包括①售后质量保证措施②售后服务响应时间。 评审标准量化内容： 前述要求的内容均有描述且符合本项目要求的得4分；每缺少一个内容扣2分，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投标人提供2023年1月至今类似项目业绩合同（以合同签订时间为准）；一个业绩得2分，最高得6分；评审依据：提供合同复印件并加盖公章。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 2.投标报价得分：满足招标文件要求且投标单价报价最低报价为评标基准价，其价格分为满分。价格分按照下列公式计算：投标报价得分=（评标基准价/投标单价）×10。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