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版本号：HWHZ-2026042.1B120260831001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汉台区气化汉中（打通燃气堵点及瓶改管）武乡镇片区天然气管道建设项目初步设计及概算(二次)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HWHZ-2026042.1B1</w:t>
      </w:r>
      <w:r>
        <w:br/>
      </w:r>
      <w:r>
        <w:br/>
      </w:r>
      <w:r>
        <w:br/>
      </w:r>
    </w:p>
    <w:p>
      <w:pPr>
        <w:pStyle w:val="null3"/>
        <w:jc w:val="center"/>
        <w:outlineLvl w:val="2"/>
      </w:pPr>
      <w:r>
        <w:rPr>
          <w:rFonts w:ascii="仿宋_GB2312" w:hAnsi="仿宋_GB2312" w:cs="仿宋_GB2312" w:eastAsia="仿宋_GB2312"/>
          <w:sz w:val="28"/>
          <w:b/>
        </w:rPr>
        <w:t>汉中市汉台区城市管理局</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汉中市汉台区城市管理局</w:t>
      </w:r>
      <w:r>
        <w:rPr>
          <w:rFonts w:ascii="仿宋_GB2312" w:hAnsi="仿宋_GB2312" w:cs="仿宋_GB2312" w:eastAsia="仿宋_GB2312"/>
        </w:rPr>
        <w:t>委托，拟对</w:t>
      </w:r>
      <w:r>
        <w:rPr>
          <w:rFonts w:ascii="仿宋_GB2312" w:hAnsi="仿宋_GB2312" w:cs="仿宋_GB2312" w:eastAsia="仿宋_GB2312"/>
        </w:rPr>
        <w:t>汉台区气化汉中（打通燃气堵点及瓶改管）武乡镇片区天然气管道建设项目初步设计及概算(二次)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HWHZ-2026042.1B1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汉台区气化汉中（打通燃气堵点及瓶改管）武乡镇片区天然气管道建设项目初步设计及概算(二次)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项⽬初步设计（含概算编制），包含全套设计成果资料制作、成果的评审和审查的修改调整、配合采购⼈报批报建、资料 收集、配合相关审查单位的审查⼯作，以及其他后续服务⼯作。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采购包1（汉台区气化汉中（打通燃气堵点及瓶改管）武乡镇片区天然气管道建设项目初步设计及概算）：属于专门面向中小企业采购。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及授权委托书：法定代表人参加投标须提供《法定代表人身份证明》(附法定代表人身份证复印件)；法定代表人授权他人参加投标，须提供《法定代表人身份证明》及《法定代表人授权委托书》(附法定代表人身份证复印件及被授权人身份证复印件)；</w:t>
      </w:r>
    </w:p>
    <w:p>
      <w:pPr>
        <w:pStyle w:val="null3"/>
      </w:pPr>
      <w:r>
        <w:rPr>
          <w:rFonts w:ascii="仿宋_GB2312" w:hAnsi="仿宋_GB2312" w:cs="仿宋_GB2312" w:eastAsia="仿宋_GB2312"/>
        </w:rPr>
        <w:t>3、供应商资格承诺函：供应商须按照汉财办采管[2024]20 号文件通知要求，提供《汉中市政府采购供应商资格承诺函》；</w:t>
      </w:r>
    </w:p>
    <w:p>
      <w:pPr>
        <w:pStyle w:val="null3"/>
      </w:pPr>
      <w:r>
        <w:rPr>
          <w:rFonts w:ascii="仿宋_GB2312" w:hAnsi="仿宋_GB2312" w:cs="仿宋_GB2312" w:eastAsia="仿宋_GB2312"/>
        </w:rPr>
        <w:t>4、企业资质要求：供应商须具有建设行政主管部门核发的【工程设计综合资质甲级】或【市政行业工程设计丙级】或【市政行业(城镇燃气工程)专业设计丙级】及以上设计资质，且具备特种设备设计许可证(压力管道GB1)；</w:t>
      </w:r>
    </w:p>
    <w:p>
      <w:pPr>
        <w:pStyle w:val="null3"/>
      </w:pPr>
      <w:r>
        <w:rPr>
          <w:rFonts w:ascii="仿宋_GB2312" w:hAnsi="仿宋_GB2312" w:cs="仿宋_GB2312" w:eastAsia="仿宋_GB2312"/>
        </w:rPr>
        <w:t>5、设计负责人资质要求：拟派设计负责⼈须具有【国家注册公⽤设备⼯程师(动⼒)】执业资格或相关专业（市政或燃⽓）中级及以上职称；</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汉中市汉台区城市管理局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0916-2998868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汉中市汉台区北关街道办事处留侯路东⽅明珠⼩区临街商铺⼆楼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开户名称：华⽂项⽬管理有限公司汉中分公司</w:t>
            </w:r>
          </w:p>
          <w:p>
            <w:pPr>
              <w:pStyle w:val="null3"/>
            </w:pPr>
            <w:r>
              <w:rPr>
                <w:rFonts w:ascii="仿宋_GB2312" w:hAnsi="仿宋_GB2312" w:cs="仿宋_GB2312" w:eastAsia="仿宋_GB2312"/>
              </w:rPr>
              <w:t>开户银行：中国建设银⾏股份有限公司汉中莲湖东路⽀⾏</w:t>
            </w:r>
          </w:p>
          <w:p>
            <w:pPr>
              <w:pStyle w:val="null3"/>
            </w:pPr>
            <w:r>
              <w:rPr>
                <w:rFonts w:ascii="仿宋_GB2312" w:hAnsi="仿宋_GB2312" w:cs="仿宋_GB2312" w:eastAsia="仿宋_GB2312"/>
              </w:rPr>
              <w:t>银行账号：6105 0110 0666 0000 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代理服务费收费标准：以成交⾦额为基数，参照《招标代理服务收费管理暂⾏办法》的通知（ 计价格[2002]1980号）和《关于招标代理服务收费有关问题的通知》（发改办价格[2003]85 7号）的有关规定收取代理服务费。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汉中市汉台区城市管理局</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汉中市汉台区城市管理局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汉中市汉台区城市管理局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地址：汉中市汉台区北关街道办事处留侯路东⽅明珠⼩区临街商铺⼆楼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项目初步设计（含概算编制），包含全套设计成果资料制作、成果的评审和审查的修改调整、配合采购人报批报建、资料收集、配合相关审查单位的审查工作，以及其他后续服务工作。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汉台区气化汉中（打通燃气堵点及瓶改管）武乡镇片区天然气管道建设项目初步设计及概算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标的名称：汉台区气化汉中（打通燃气堵点及瓶改管）武乡镇片区天然气管道建设项目初步设计及概算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服务内容：</w:t>
            </w:r>
          </w:p>
          <w:p>
            <w:pPr>
              <w:pStyle w:val="null3"/>
            </w:pPr>
            <w:r>
              <w:rPr>
                <w:rFonts w:ascii="仿宋_GB2312" w:hAnsi="仿宋_GB2312" w:cs="仿宋_GB2312" w:eastAsia="仿宋_GB2312"/>
                <w:sz w:val="21"/>
              </w:rPr>
              <w:t>项目初步设计（含概算编制），包含全套设计成果资料制作、成果的评审和审查的修改调整、配合采购人报批报建、资料收集、配合相关审查单位的审查工作，以及其他后续服务工作。</w:t>
            </w:r>
          </w:p>
          <w:p>
            <w:pPr>
              <w:pStyle w:val="null3"/>
            </w:pPr>
            <w:r>
              <w:rPr>
                <w:rFonts w:ascii="仿宋_GB2312" w:hAnsi="仿宋_GB2312" w:cs="仿宋_GB2312" w:eastAsia="仿宋_GB2312"/>
                <w:sz w:val="21"/>
              </w:rPr>
              <w:t>服务要求：</w:t>
            </w:r>
          </w:p>
          <w:p>
            <w:pPr>
              <w:pStyle w:val="null3"/>
            </w:pPr>
            <w:r>
              <w:rPr>
                <w:rFonts w:ascii="仿宋_GB2312" w:hAnsi="仿宋_GB2312" w:cs="仿宋_GB2312" w:eastAsia="仿宋_GB2312"/>
                <w:sz w:val="21"/>
              </w:rPr>
              <w:t>1、设计文件的编制须严格执行国家基本建设程序、工程建设标准强制性条文及有关工程建设的法律法规、规章、规范、标准、规程和合同的要求；</w:t>
            </w:r>
            <w:r>
              <w:br/>
            </w:r>
            <w:r>
              <w:rPr>
                <w:rFonts w:ascii="仿宋_GB2312" w:hAnsi="仿宋_GB2312" w:cs="仿宋_GB2312" w:eastAsia="仿宋_GB2312"/>
                <w:sz w:val="21"/>
              </w:rPr>
              <w:t xml:space="preserve"> 2、设计文件编制要求资源整合利用、节约资源和能源、符合相关规划，提高社会经济效益和促进技术进步；</w:t>
            </w:r>
            <w:r>
              <w:br/>
            </w:r>
            <w:r>
              <w:rPr>
                <w:rFonts w:ascii="仿宋_GB2312" w:hAnsi="仿宋_GB2312" w:cs="仿宋_GB2312" w:eastAsia="仿宋_GB2312"/>
                <w:sz w:val="21"/>
              </w:rPr>
              <w:t xml:space="preserve"> 3、设计依据的基本资料应完整、准确、可靠；</w:t>
            </w:r>
            <w:r>
              <w:br/>
            </w:r>
            <w:r>
              <w:rPr>
                <w:rFonts w:ascii="仿宋_GB2312" w:hAnsi="仿宋_GB2312" w:cs="仿宋_GB2312" w:eastAsia="仿宋_GB2312"/>
                <w:sz w:val="21"/>
              </w:rPr>
              <w:t xml:space="preserve"> 4、设计方案论证充分，计算可靠；</w:t>
            </w:r>
            <w:r>
              <w:br/>
            </w:r>
            <w:r>
              <w:rPr>
                <w:rFonts w:ascii="仿宋_GB2312" w:hAnsi="仿宋_GB2312" w:cs="仿宋_GB2312" w:eastAsia="仿宋_GB2312"/>
                <w:sz w:val="21"/>
              </w:rPr>
              <w:t xml:space="preserve"> 5、设计文件的深度应满足和符合初步设计图设计阶段的有关规定、规范的要求；</w:t>
            </w:r>
            <w:r>
              <w:br/>
            </w:r>
            <w:r>
              <w:rPr>
                <w:rFonts w:ascii="仿宋_GB2312" w:hAnsi="仿宋_GB2312" w:cs="仿宋_GB2312" w:eastAsia="仿宋_GB2312"/>
                <w:sz w:val="21"/>
              </w:rPr>
              <w:t xml:space="preserve"> 6、设计文件须保证工程质量和安全的要求，符合安全、适用、经济、美观的综合要求；</w:t>
            </w:r>
            <w:r>
              <w:br/>
            </w:r>
            <w:r>
              <w:rPr>
                <w:rFonts w:ascii="仿宋_GB2312" w:hAnsi="仿宋_GB2312" w:cs="仿宋_GB2312" w:eastAsia="仿宋_GB2312"/>
                <w:sz w:val="21"/>
              </w:rPr>
              <w:t xml:space="preserve"> 7、设计文件中关于建设材料、配件和设备的选用，应当注明其性能及技术标准，质量要求须符合国家规定的标准，但不得指定生产厂家、供应商和产品品牌；</w:t>
            </w:r>
            <w:r>
              <w:br/>
            </w:r>
            <w:r>
              <w:rPr>
                <w:rFonts w:ascii="仿宋_GB2312" w:hAnsi="仿宋_GB2312" w:cs="仿宋_GB2312" w:eastAsia="仿宋_GB2312"/>
                <w:sz w:val="21"/>
              </w:rPr>
              <w:t xml:space="preserve"> 8、在项目实施过程中，如果遇到国家或有关部委颁发了新的技术标准或规范，设计人应采用新的标准或规范进行编制；</w:t>
            </w:r>
            <w:r>
              <w:br/>
            </w:r>
            <w:r>
              <w:rPr>
                <w:rFonts w:ascii="仿宋_GB2312" w:hAnsi="仿宋_GB2312" w:cs="仿宋_GB2312" w:eastAsia="仿宋_GB2312"/>
                <w:sz w:val="21"/>
              </w:rPr>
              <w:t xml:space="preserve"> 9、供应商在设计过程中应按照国家安全、相关部委及行业的有关规定和标准履行保密义务，供应商对初步设计中涉及的有关信息保密。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根据项⽬情况配置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法定代表人身份证明及授权委托书</w:t>
            </w:r>
          </w:p>
        </w:tc>
        <w:tc>
          <w:tcPr>
            <w:tcW w:type="dxa" w:w="3322"/>
          </w:tcPr>
          <w:p>
            <w:pPr>
              <w:pStyle w:val="null3"/>
            </w:pPr>
            <w:r>
              <w:rPr>
                <w:rFonts w:ascii="仿宋_GB2312" w:hAnsi="仿宋_GB2312" w:cs="仿宋_GB2312" w:eastAsia="仿宋_GB2312"/>
              </w:rPr>
              <w:t>法定代表人参加投标须提供《法定代表人身份证明》(附法定代表人身份证复印件)；法定代表人授权他人参加投标，须提供《法定代表人身份证明》及《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法定代表人身份证明及授权委托书.docx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 号文件通知要求，提供《汉中市政府采购供应商资格承诺函》；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供应商须具有建设行政主管部门核发的【工程设计综合资质甲级】或【市政行业工程设计丙级】或【市政行业(城镇燃气工程)专业设计丙级】及以上设计资质，且具备特种设备设计许可证(压力管道GB1)；</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设计负责人资质要求</w:t>
            </w:r>
          </w:p>
        </w:tc>
        <w:tc>
          <w:tcPr>
            <w:tcW w:type="dxa" w:w="3322"/>
          </w:tcPr>
          <w:p>
            <w:pPr>
              <w:pStyle w:val="null3"/>
            </w:pPr>
            <w:r>
              <w:rPr>
                <w:rFonts w:ascii="仿宋_GB2312" w:hAnsi="仿宋_GB2312" w:cs="仿宋_GB2312" w:eastAsia="仿宋_GB2312"/>
              </w:rPr>
              <w:t>拟派设计负责⼈须具有【国家注册公⽤设备⼯程师(动⼒)】执业资格或相关专业（市政或燃⽓）中级及以上职称；</w:t>
            </w:r>
          </w:p>
        </w:tc>
        <w:tc>
          <w:tcPr>
            <w:tcW w:type="dxa" w:w="1661"/>
          </w:tcPr>
          <w:p>
            <w:pPr>
              <w:pStyle w:val="null3"/>
            </w:pPr>
            <w:r>
              <w:rPr>
                <w:rFonts w:ascii="仿宋_GB2312" w:hAnsi="仿宋_GB2312" w:cs="仿宋_GB2312" w:eastAsia="仿宋_GB2312"/>
              </w:rPr>
              <w:t>供应商应提交的相关资格证明材料 项目拟派人员情况表.docx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非联合体声明.docx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符合⽂件要求，响应⽂件内容⻬全、⽆遗漏。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响应文件封面 法定代表人身份证明及授权委托书.docx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均按⽂件要求签字、盖章。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响应文件封面 法定代表人身份证明及授权委托书.docx 非联合体声明.docx 残疾人福利性单位声明函 服务方案 标的清单 业绩相关证明材料.docx 项目拟派人员情况表.docx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设计服务实施⽅案</w:t>
            </w:r>
          </w:p>
        </w:tc>
        <w:tc>
          <w:tcPr>
            <w:tcW w:type="dxa" w:w="2492"/>
          </w:tcPr>
          <w:p>
            <w:pPr>
              <w:pStyle w:val="null3"/>
            </w:pPr>
            <w:r>
              <w:rPr>
                <w:rFonts w:ascii="仿宋_GB2312" w:hAnsi="仿宋_GB2312" w:cs="仿宋_GB2312" w:eastAsia="仿宋_GB2312"/>
              </w:rPr>
              <w:t>⼀、评审内容：供应商针对本项⽬提供的设计服务⽅案内容包含：①设计服务范围、⼯作内容及设计依据；②总体⼯作思路及实施⽅法；③安全保障措施；④设计⼯作协调机制及配合措施；⑤设计成果质量控制措施。 ⼆、评审标准： 1、完整性：⽅案内容全⾯，对评审内容 中的各项要求有详细描述、⽆遗漏； 2、可实施性：⽅案步骤清晰、流程明确，与项⽬实际条件匹配，可直接落地执⾏； 3、针对性：⽅案紧扣项⽬实际需求与特点，措施具体，不泛⽤模板，能有效解决项⽬实际问题。 三、赋分标准：完全满⾜评审内容及评审标准得满分20 分；每缺⼀项评审内容扣4分，每⼀项内容存在缺陷，扣1分，扣完为⽌。 注：“缺陷”是指①内容缺项、不完整或缺少关键点；②⾮专⻔针对本项⽬或不适⽤本项⽬特性、套⽤其他项⽬内容与本项⽬需求不匹配、或凭空编造；③对同⼀问题前后表述⽭盾，存在逻辑漏洞、科学原理或常识错误；④不利于本项⽬⽬标的实现、现有技术条件下不可能出现的情形等任意⼀种情形。（本表所有对于缺陷定义的内容“同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⼀、评审内容：供应商针本项⽬提供的进度安排及保障措施，内容包含：①进度计划；②进度保障措施。 ⼆、评审标准： 1、完整性：进度计划⽅案内容全⾯，对评审内容中的各项要求有详细描述、⽆遗漏； 2、可实施性：进度计划⽅案步骤清晰、流程明确，与项⽬实际条件匹配，可直接落地执⾏； 3、针对性：进度计划⽅案紧扣项⽬实际需求与特点，措施具体，不泛⽤模板，能有效解决项⽬实际问题。 三、赋分标准：完全满⾜评审内容及评审标准得满分10分；每缺⼀项评审内容扣5分，每⼀项内容存在缺陷，扣1分，扣完为⽌。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⼀、评审内容：供应商针对本项⽬编制完善的质量保证措施，内容包含：①质量保证⽬标及任务②质量保证⽅法及措施； ⼆、评审标准：1、完整性：措施内容全⾯，对评审内容中的各项要求有详细描述、⽆遗漏； 2、可实施性：措施步骤清晰、流程明确，与项⽬实际条件 匹配，可直接落地执⾏； 3、针对性：措施紧扣项⽬实际需求与特点，措施具体，不泛⽤模板，能有效解决项⽬实际问题。 三、赋分标准：完全满⾜评审内容及评审标准得满分10分；每缺⼀项评审内容扣5分，每⼀项内容存在缺陷，扣1分，扣完为⽌。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供应商针对本项⽬提供的后续服务承诺包括：①确保⼯作有效开展的服务质量承诺；②⼯期进度承诺；③项⽬服务期限内⼈员不得擅⾃离岗、脱岗或擅⾃更换⼈员承诺；④服务响应时间及配合程度的承诺；⑤全程报批配合承诺。 ⼆、赋分标准：每提供⼀项承诺得3分，满分15分。未提供此项内容或缺项不得分。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供应商提供2023年1⽉1⽇起⾄今已完成的类似业绩证明材料，每提供1项得2.5分，最多得5分。 评审依据：业绩以合同或（中标）成交通知书加盖公章的复印件为依据，未提供或提供不全的不得分。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项⽬团队配备</w:t>
            </w:r>
          </w:p>
        </w:tc>
        <w:tc>
          <w:tcPr>
            <w:tcW w:type="dxa" w:w="2492"/>
          </w:tcPr>
          <w:p>
            <w:pPr>
              <w:pStyle w:val="null3"/>
            </w:pPr>
            <w:r>
              <w:rPr>
                <w:rFonts w:ascii="仿宋_GB2312" w:hAnsi="仿宋_GB2312" w:cs="仿宋_GB2312" w:eastAsia="仿宋_GB2312"/>
              </w:rPr>
              <w:t>⼀、评审内容（满分15分）：①除项⽬负责⼈外，团队⼈员中有市政或燃⽓相关专业中级及以上职称的每有⼀个得2分，最⾼10分；② 除项⽬负责⼈外，团队⼈员中配备⼀级造价注册⼯程师的，每有⼀个得2.5 分，最⾼5分。 ⼆、评审标准：提供⾝份证及相关证书，并加盖公章，不提供不得分。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售后闭环管理</w:t>
            </w:r>
          </w:p>
        </w:tc>
        <w:tc>
          <w:tcPr>
            <w:tcW w:type="dxa" w:w="2492"/>
          </w:tcPr>
          <w:p>
            <w:pPr>
              <w:pStyle w:val="null3"/>
            </w:pPr>
            <w:r>
              <w:rPr>
                <w:rFonts w:ascii="仿宋_GB2312" w:hAnsi="仿宋_GB2312" w:cs="仿宋_GB2312" w:eastAsia="仿宋_GB2312"/>
              </w:rPr>
              <w:t>一、评审内容 ①售后服务档案管理制度②投标文件中须提供标准化售后服务台账模板，售后服务台账模板应当包含服务时间、问题内容、处置人员、技术处置方案、答复结果、甲方确认信息等内容；台账模板关键要素缺失的，不予认定为有效台账模板。 二、赋分标准（满分5分） 1. 同时提供要素齐全的台账模板及售后服务档案管理制度，得 5 分； 2. 仅提供要素齐全的台账模板，未提供售后服务档案管理制度，得 3 分； 3. 仅提供售后服务档案管理制度，未提供要素齐全的台账模板，得 2 分； 4. 未提供有效售后台账模板、售后服务档案管理制度任一资料的，本项不得分。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价格分采用低价优先法计算，即满足竞争性磋商文件要求且投标价格最低的投标报价为评标基准价，其得分为满分。其他供应商的得分统一按照下列公式计算： 投标报价得分=（评标基准价/投标报价）×分值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详见附件：项目拟派人员情况表.docx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详见附件：业绩相关证明材料.docx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