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版本号：HC-FZB-2026-02220260515001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汉城法庭办公用房租赁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HC-FZB-2026-022</w:t>
      </w:r>
      <w:r>
        <w:br/>
      </w:r>
      <w:r>
        <w:br/>
      </w:r>
      <w:r>
        <w:br/>
      </w:r>
    </w:p>
    <w:p>
      <w:pPr>
        <w:pStyle w:val="null3"/>
        <w:jc w:val="center"/>
        <w:outlineLvl w:val="5"/>
      </w:pPr>
      <w:r>
        <w:rPr>
          <w:rFonts w:ascii="仿宋_GB2312" w:hAnsi="仿宋_GB2312" w:cs="仿宋_GB2312" w:eastAsia="仿宋_GB2312"/>
          <w:sz w:val="15"/>
          <w:b/>
        </w:rPr>
        <w:t>西安市未央区人民法院[158]</w:t>
      </w:r>
    </w:p>
    <w:p>
      <w:pPr>
        <w:pStyle w:val="null3"/>
        <w:jc w:val="center"/>
        <w:outlineLvl w:val="5"/>
      </w:pPr>
      <w:r>
        <w:rPr>
          <w:rFonts w:ascii="仿宋_GB2312" w:hAnsi="仿宋_GB2312" w:cs="仿宋_GB2312" w:eastAsia="仿宋_GB2312"/>
          <w:sz w:val="15"/>
          <w:b/>
        </w:rPr>
        <w:t>华春建设工程项目管理有限责任公司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西安市未央区人民法院[158]</w:t>
      </w:r>
      <w:r>
        <w:rPr>
          <w:rFonts w:ascii="仿宋_GB2312" w:hAnsi="仿宋_GB2312" w:cs="仿宋_GB2312" w:eastAsia="仿宋_GB2312"/>
        </w:rPr>
        <w:t>委托，拟对</w:t>
      </w:r>
      <w:r>
        <w:rPr>
          <w:rFonts w:ascii="仿宋_GB2312" w:hAnsi="仿宋_GB2312" w:cs="仿宋_GB2312" w:eastAsia="仿宋_GB2312"/>
        </w:rPr>
        <w:t>汉城法庭办公用房租赁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HC-FZB-2026-022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汉城法庭办公用房租赁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西安市未央区人民法院汉城法庭办公用房租赁（详见采购文件“第三章 采购项目技术、服务、商务及其他要求”）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采购包1（汉城法庭办公用房租赁）：属于专门面向中小企业采购。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2、无重大违法记录：参加政府采购活动前3年内在经营活动中没有重大违法记录， 供应商需在项目电子化交易系统中按要求填写《响应函》完成承诺并进行电子签章。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4、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8、本项目不接受联合体响应，不允许分包：供应商提供《非联合体、不分包投标声明》，视为独立响应，不分包；供应商应提供承诺书，格式及内容具体参见“响应文件格式”。</w:t>
      </w:r>
    </w:p>
    <w:p>
      <w:pPr>
        <w:pStyle w:val="null3"/>
      </w:pPr>
      <w:r>
        <w:rPr>
          <w:rFonts w:ascii="仿宋_GB2312" w:hAnsi="仿宋_GB2312" w:cs="仿宋_GB2312" w:eastAsia="仿宋_GB2312"/>
        </w:rPr>
        <w:t>9、声明：供应商提供具有履行合同所必需的设备和专业技术能力的声明；供应商应提供承诺书，格式及内容具体参见“响应文件格式”。</w:t>
      </w:r>
    </w:p>
    <w:p>
      <w:pPr>
        <w:pStyle w:val="null3"/>
      </w:pPr>
      <w:r>
        <w:rPr>
          <w:rFonts w:ascii="仿宋_GB2312" w:hAnsi="仿宋_GB2312" w:cs="仿宋_GB2312" w:eastAsia="仿宋_GB2312"/>
        </w:rPr>
        <w:t>10、本项目专门面向中小企业采购：供应商需在项目电子化交易系统中按要求上传相应证明文件并进行电子签章。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西安市未央区人民法院[158]</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西安市未央区浐灞大道2331号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029-88010008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张向宁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15929736865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采购包1：1,849,000.00元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采购包1：1,849,000.00元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代理服务费收费标准：中标单位在领取中标通知书前，须向采购代理机构支付招标代理服务费 ，招标代理服务费以中标金额为基数，参照国家计委颁布《招标代理服务收费管理暂行办法》（计价格[2002]1980号） 开户名称：华春建设工程项目管理有限责任公司 开户行：中国银行西安南二环支行 账号：102807336850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西安市未央区人民法院[158]</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西安市未央区人民法院[158]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西安市未央区人民法院汉城法庭办公用房租赁（详见采购文件“第三章 采购项目技术、服务、商务及其他要求”）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1,849,000.00</w:t>
      </w:r>
    </w:p>
    <w:p>
      <w:pPr>
        <w:pStyle w:val="null3"/>
      </w:pPr>
      <w:r>
        <w:rPr>
          <w:rFonts w:ascii="仿宋_GB2312" w:hAnsi="仿宋_GB2312" w:cs="仿宋_GB2312" w:eastAsia="仿宋_GB2312"/>
        </w:rPr>
        <w:t>采购包最高限价（元）: 1,849,000.00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汉城法庭办公用房租赁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1,849,000.00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标的名称：汉城法庭办公用房租赁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color w:val="333333"/>
              </w:rPr>
              <w:t>省高院要求</w:t>
            </w:r>
            <w:r>
              <w:rPr>
                <w:rFonts w:ascii="仿宋_GB2312" w:hAnsi="仿宋_GB2312" w:cs="仿宋_GB2312" w:eastAsia="仿宋_GB2312"/>
                <w:sz w:val="24"/>
                <w:color w:val="333333"/>
              </w:rPr>
              <w:t>2022年底要实现全省人民法庭基础设施及装备条件有序进步，促民服务有新时效，而汉城人民法庭无自有办公办案用房，供用的办公用房面积和设施条件不符合人民法庭“两化”建设标准，与人民法庭建设要求"便于当事人诉讼、便于人民法院依法独立公正高效行使判权，便于人民群众及时感受到公平公正”的原则不相符。</w:t>
            </w:r>
            <w:r>
              <w:br/>
            </w:r>
            <w:r>
              <w:rPr>
                <w:rFonts w:ascii="仿宋_GB2312" w:hAnsi="仿宋_GB2312" w:cs="仿宋_GB2312" w:eastAsia="仿宋_GB2312"/>
                <w:sz w:val="24"/>
                <w:color w:val="333333"/>
              </w:rPr>
              <w:t xml:space="preserve">    </w:t>
            </w:r>
            <w:r>
              <w:rPr>
                <w:rFonts w:ascii="仿宋_GB2312" w:hAnsi="仿宋_GB2312" w:cs="仿宋_GB2312" w:eastAsia="仿宋_GB2312"/>
                <w:sz w:val="24"/>
                <w:color w:val="333333"/>
              </w:rPr>
              <w:t xml:space="preserve"> 汉城人民法庭目前有</w:t>
            </w:r>
            <w:r>
              <w:rPr>
                <w:rFonts w:ascii="仿宋_GB2312" w:hAnsi="仿宋_GB2312" w:cs="仿宋_GB2312" w:eastAsia="仿宋_GB2312"/>
                <w:sz w:val="24"/>
                <w:color w:val="333333"/>
              </w:rPr>
              <w:t>1</w:t>
            </w:r>
            <w:r>
              <w:rPr>
                <w:rFonts w:ascii="仿宋_GB2312" w:hAnsi="仿宋_GB2312" w:cs="仿宋_GB2312" w:eastAsia="仿宋_GB2312"/>
                <w:sz w:val="24"/>
                <w:color w:val="333333"/>
              </w:rPr>
              <w:t>5</w:t>
            </w:r>
            <w:r>
              <w:rPr>
                <w:rFonts w:ascii="仿宋_GB2312" w:hAnsi="仿宋_GB2312" w:cs="仿宋_GB2312" w:eastAsia="仿宋_GB2312"/>
                <w:sz w:val="24"/>
                <w:color w:val="333333"/>
              </w:rPr>
              <w:t>名正式在岗干警人员数量</w:t>
            </w:r>
            <w:r>
              <w:rPr>
                <w:rFonts w:ascii="仿宋_GB2312" w:hAnsi="仿宋_GB2312" w:cs="仿宋_GB2312" w:eastAsia="仿宋_GB2312"/>
                <w:sz w:val="24"/>
                <w:color w:val="333333"/>
              </w:rPr>
              <w:t>。</w:t>
            </w:r>
            <w:r>
              <w:rPr>
                <w:rFonts w:ascii="仿宋_GB2312" w:hAnsi="仿宋_GB2312" w:cs="仿宋_GB2312" w:eastAsia="仿宋_GB2312"/>
                <w:sz w:val="24"/>
                <w:color w:val="333333"/>
              </w:rPr>
              <w:t>结合住建部、国家发改委颁布的《人民法院法庭建设标准</w:t>
            </w:r>
            <w:r>
              <w:rPr>
                <w:rFonts w:ascii="仿宋_GB2312" w:hAnsi="仿宋_GB2312" w:cs="仿宋_GB2312" w:eastAsia="仿宋_GB2312"/>
                <w:sz w:val="24"/>
                <w:color w:val="333333"/>
              </w:rPr>
              <w:t>(建标138-2010)》和省高院《陕西省高级人民法院关于印发&lt;全省人民法庭标准化规范化建设评估标准&gt;的通知》等相关规定:"编制人员数超过11人、年审理案件数超过1000件的人民法庭，其建设规模可在一类面积标准(1670</w:t>
            </w:r>
            <w:r>
              <w:rPr>
                <w:rFonts w:ascii="仿宋_GB2312" w:hAnsi="仿宋_GB2312" w:cs="仿宋_GB2312" w:eastAsia="仿宋_GB2312"/>
                <w:sz w:val="24"/>
                <w:color w:val="333333"/>
              </w:rPr>
              <w:t>㎡</w:t>
            </w:r>
            <w:r>
              <w:rPr>
                <w:rFonts w:ascii="仿宋_GB2312" w:hAnsi="仿宋_GB2312" w:cs="仿宋_GB2312" w:eastAsia="仿宋_GB2312"/>
                <w:sz w:val="24"/>
                <w:color w:val="333333"/>
              </w:rPr>
              <w:t>-1930</w:t>
            </w:r>
            <w:r>
              <w:rPr>
                <w:rFonts w:ascii="仿宋_GB2312" w:hAnsi="仿宋_GB2312" w:cs="仿宋_GB2312" w:eastAsia="仿宋_GB2312"/>
                <w:sz w:val="24"/>
                <w:color w:val="333333"/>
              </w:rPr>
              <w:t>㎡</w:t>
            </w:r>
            <w:r>
              <w:rPr>
                <w:rFonts w:ascii="仿宋_GB2312" w:hAnsi="仿宋_GB2312" w:cs="仿宋_GB2312" w:eastAsia="仿宋_GB2312"/>
                <w:sz w:val="24"/>
                <w:color w:val="333333"/>
              </w:rPr>
              <w:t>)的基础上适当增加。</w:t>
            </w:r>
            <w:r>
              <w:br/>
            </w:r>
            <w:r>
              <w:rPr>
                <w:rFonts w:ascii="仿宋_GB2312" w:hAnsi="仿宋_GB2312" w:cs="仿宋_GB2312" w:eastAsia="仿宋_GB2312"/>
                <w:sz w:val="24"/>
                <w:color w:val="333333"/>
              </w:rPr>
              <w:t xml:space="preserve">     为了更好的服务于广大人民群众现西安市未央区人民法院在规定范围内租赁办公用地。</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首期租赁费用在合同签订7日内一次性支付，每6个月为一期向出租方付费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后期租赁费用租赁方应于上一计租周期届满前20日内一次性交清</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服务方案 标的清单 报价表 服务内容及服务邀请应答表.docx 商务应答表.docx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服务方案 标的清单 报价表 服务内容及服务邀请应答表.docx 商务应答表.docx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服务方案 标的清单 报价表 服务内容及服务邀请应答表.docx 商务应答表.docx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服务方案 标的清单 报价表 服务内容及服务邀请应答表.docx 商务应答表.docx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服务方案 标的清单 报价表 服务内容及服务邀请应答表.docx 商务应答表.docx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服务周期</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服务方案 标的清单 报价表 服务内容及服务邀请应答表.docx 商务应答表.docx 响应函 资格证明文件.docx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