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6EEB9">
      <w:pPr>
        <w:pStyle w:val="5"/>
        <w:outlineLvl w:val="2"/>
        <w:rPr>
          <w:rFonts w:hint="default"/>
        </w:rPr>
      </w:pPr>
      <w:r>
        <w:rPr>
          <w:rFonts w:ascii="仿宋_GB2312" w:hAnsi="仿宋_GB2312" w:eastAsia="仿宋_GB2312" w:cs="仿宋_GB2312"/>
          <w:b/>
          <w:sz w:val="28"/>
        </w:rPr>
        <w:t>3.3技术要求</w:t>
      </w:r>
    </w:p>
    <w:p w14:paraId="08286C2A">
      <w:pPr>
        <w:pStyle w:val="5"/>
        <w:rPr>
          <w:rFonts w:hint="default"/>
        </w:rPr>
      </w:pPr>
      <w:r>
        <w:rPr>
          <w:rFonts w:ascii="仿宋_GB2312" w:hAnsi="仿宋_GB2312" w:eastAsia="仿宋_GB2312" w:cs="仿宋_GB2312"/>
        </w:rPr>
        <w:t>采购包1：</w:t>
      </w:r>
    </w:p>
    <w:p w14:paraId="48449AC2">
      <w:pPr>
        <w:pStyle w:val="5"/>
        <w:rPr>
          <w:rFonts w:hint="default"/>
        </w:rPr>
      </w:pPr>
      <w:r>
        <w:rPr>
          <w:rFonts w:ascii="仿宋_GB2312" w:hAnsi="仿宋_GB2312" w:eastAsia="仿宋_GB2312" w:cs="仿宋_GB2312"/>
        </w:rPr>
        <w:t>标的名称：地震</w:t>
      </w:r>
      <w:r>
        <w:rPr>
          <w:rFonts w:ascii="仿宋" w:hAnsi="仿宋" w:eastAsia="仿宋" w:cs="宋体"/>
        </w:rPr>
        <w:t>预警</w:t>
      </w:r>
      <w:r>
        <w:rPr>
          <w:rFonts w:ascii="仿宋_GB2312" w:hAnsi="仿宋_GB2312" w:eastAsia="仿宋_GB2312" w:cs="仿宋_GB2312"/>
        </w:rPr>
        <w:t>广播终端</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68"/>
        <w:gridCol w:w="771"/>
        <w:gridCol w:w="7283"/>
      </w:tblGrid>
      <w:tr w14:paraId="37DFE2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5" w:type="pct"/>
          </w:tcPr>
          <w:p w14:paraId="65AD6887">
            <w:pPr>
              <w:pStyle w:val="5"/>
              <w:rPr>
                <w:rFonts w:hint="default" w:ascii="仿宋" w:hAnsi="仿宋" w:eastAsia="仿宋"/>
              </w:rPr>
            </w:pPr>
            <w:r>
              <w:rPr>
                <w:rFonts w:ascii="仿宋" w:hAnsi="仿宋" w:eastAsia="仿宋" w:cs="仿宋_GB2312"/>
              </w:rPr>
              <w:t>序号</w:t>
            </w:r>
          </w:p>
        </w:tc>
        <w:tc>
          <w:tcPr>
            <w:tcW w:w="452" w:type="pct"/>
          </w:tcPr>
          <w:p w14:paraId="5242CD30">
            <w:pPr>
              <w:pStyle w:val="5"/>
              <w:rPr>
                <w:rFonts w:hint="default" w:ascii="仿宋" w:hAnsi="仿宋" w:eastAsia="仿宋"/>
              </w:rPr>
            </w:pPr>
            <w:r>
              <w:rPr>
                <w:rFonts w:ascii="仿宋" w:hAnsi="仿宋" w:eastAsia="仿宋" w:cs="仿宋_GB2312"/>
              </w:rPr>
              <w:t>参数性质</w:t>
            </w:r>
          </w:p>
        </w:tc>
        <w:tc>
          <w:tcPr>
            <w:tcW w:w="4272" w:type="pct"/>
          </w:tcPr>
          <w:p w14:paraId="2F523F81">
            <w:pPr>
              <w:pStyle w:val="5"/>
              <w:rPr>
                <w:rFonts w:hint="default" w:ascii="仿宋" w:hAnsi="仿宋" w:eastAsia="仿宋"/>
              </w:rPr>
            </w:pPr>
            <w:r>
              <w:rPr>
                <w:rFonts w:ascii="仿宋" w:hAnsi="仿宋" w:eastAsia="仿宋" w:cs="仿宋_GB2312"/>
              </w:rPr>
              <w:t>技术参数与性能指标</w:t>
            </w:r>
          </w:p>
        </w:tc>
      </w:tr>
      <w:tr w14:paraId="77395E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99" w:hRule="atLeast"/>
        </w:trPr>
        <w:tc>
          <w:tcPr>
            <w:tcW w:w="275" w:type="pct"/>
          </w:tcPr>
          <w:p w14:paraId="0A0B496F">
            <w:pPr>
              <w:pStyle w:val="5"/>
              <w:rPr>
                <w:rFonts w:hint="default" w:ascii="仿宋" w:hAnsi="仿宋" w:eastAsia="仿宋"/>
                <w:lang w:eastAsia="zh-CN"/>
              </w:rPr>
            </w:pPr>
            <w:r>
              <w:rPr>
                <w:rFonts w:ascii="仿宋" w:hAnsi="仿宋" w:eastAsia="仿宋" w:cs="仿宋_GB2312"/>
                <w:lang w:eastAsia="zh-CN"/>
              </w:rPr>
              <w:t>1</w:t>
            </w:r>
          </w:p>
        </w:tc>
        <w:tc>
          <w:tcPr>
            <w:tcW w:w="452" w:type="pct"/>
          </w:tcPr>
          <w:p w14:paraId="748F08AB">
            <w:pPr>
              <w:rPr>
                <w:rFonts w:ascii="仿宋" w:hAnsi="仿宋" w:eastAsia="仿宋"/>
                <w:sz w:val="20"/>
                <w:szCs w:val="20"/>
              </w:rPr>
            </w:pPr>
          </w:p>
        </w:tc>
        <w:tc>
          <w:tcPr>
            <w:tcW w:w="4272" w:type="pct"/>
          </w:tcPr>
          <w:p w14:paraId="2F95B26C">
            <w:pPr>
              <w:spacing w:line="360" w:lineRule="auto"/>
              <w:rPr>
                <w:rFonts w:ascii="仿宋" w:hAnsi="仿宋" w:eastAsia="仿宋"/>
                <w:b/>
                <w:bCs/>
                <w:sz w:val="20"/>
                <w:szCs w:val="20"/>
              </w:rPr>
            </w:pPr>
            <w:r>
              <w:rPr>
                <w:rFonts w:hint="eastAsia" w:ascii="仿宋" w:hAnsi="仿宋" w:eastAsia="仿宋"/>
                <w:b/>
                <w:bCs/>
                <w:sz w:val="20"/>
                <w:szCs w:val="20"/>
              </w:rPr>
              <w:t>一、设备清单</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2"/>
              <w:gridCol w:w="3713"/>
              <w:gridCol w:w="639"/>
              <w:gridCol w:w="1045"/>
              <w:gridCol w:w="1045"/>
            </w:tblGrid>
            <w:tr w14:paraId="3E9E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vAlign w:val="center"/>
                </w:tcPr>
                <w:p w14:paraId="1CEA9BD9">
                  <w:pPr>
                    <w:spacing w:line="360" w:lineRule="auto"/>
                    <w:jc w:val="center"/>
                    <w:rPr>
                      <w:rFonts w:ascii="仿宋" w:hAnsi="仿宋" w:eastAsia="仿宋"/>
                      <w:sz w:val="20"/>
                      <w:szCs w:val="20"/>
                    </w:rPr>
                  </w:pPr>
                  <w:r>
                    <w:rPr>
                      <w:rFonts w:hint="eastAsia" w:ascii="仿宋" w:hAnsi="仿宋" w:eastAsia="仿宋"/>
                      <w:sz w:val="20"/>
                      <w:szCs w:val="20"/>
                    </w:rPr>
                    <w:t>序号</w:t>
                  </w:r>
                </w:p>
              </w:tc>
              <w:tc>
                <w:tcPr>
                  <w:tcW w:w="2630" w:type="pct"/>
                  <w:vAlign w:val="center"/>
                </w:tcPr>
                <w:p w14:paraId="6F6999AA">
                  <w:pPr>
                    <w:spacing w:line="360" w:lineRule="auto"/>
                    <w:jc w:val="center"/>
                    <w:rPr>
                      <w:rFonts w:ascii="仿宋" w:hAnsi="仿宋" w:eastAsia="仿宋"/>
                      <w:sz w:val="20"/>
                      <w:szCs w:val="20"/>
                    </w:rPr>
                  </w:pPr>
                  <w:r>
                    <w:rPr>
                      <w:rFonts w:hint="eastAsia" w:ascii="仿宋" w:hAnsi="仿宋" w:eastAsia="仿宋"/>
                      <w:sz w:val="20"/>
                      <w:szCs w:val="20"/>
                    </w:rPr>
                    <w:t>设备名称</w:t>
                  </w:r>
                </w:p>
              </w:tc>
              <w:tc>
                <w:tcPr>
                  <w:tcW w:w="453" w:type="pct"/>
                  <w:vAlign w:val="center"/>
                </w:tcPr>
                <w:p w14:paraId="4138F3B0">
                  <w:pPr>
                    <w:spacing w:line="360" w:lineRule="auto"/>
                    <w:jc w:val="center"/>
                    <w:rPr>
                      <w:rFonts w:ascii="仿宋" w:hAnsi="仿宋" w:eastAsia="仿宋"/>
                      <w:sz w:val="20"/>
                      <w:szCs w:val="20"/>
                    </w:rPr>
                  </w:pPr>
                  <w:r>
                    <w:rPr>
                      <w:rFonts w:hint="eastAsia" w:ascii="仿宋" w:hAnsi="仿宋" w:eastAsia="仿宋"/>
                      <w:sz w:val="20"/>
                      <w:szCs w:val="20"/>
                    </w:rPr>
                    <w:t>单位</w:t>
                  </w:r>
                </w:p>
              </w:tc>
              <w:tc>
                <w:tcPr>
                  <w:tcW w:w="740" w:type="pct"/>
                  <w:vAlign w:val="center"/>
                </w:tcPr>
                <w:p w14:paraId="40E97430">
                  <w:pPr>
                    <w:spacing w:line="360" w:lineRule="auto"/>
                    <w:jc w:val="center"/>
                    <w:rPr>
                      <w:rFonts w:ascii="仿宋" w:hAnsi="仿宋" w:eastAsia="仿宋"/>
                      <w:sz w:val="20"/>
                      <w:szCs w:val="20"/>
                    </w:rPr>
                  </w:pPr>
                  <w:r>
                    <w:rPr>
                      <w:rFonts w:hint="eastAsia" w:ascii="仿宋" w:hAnsi="仿宋" w:eastAsia="仿宋"/>
                      <w:sz w:val="20"/>
                      <w:szCs w:val="20"/>
                    </w:rPr>
                    <w:t>数量</w:t>
                  </w:r>
                </w:p>
              </w:tc>
              <w:tc>
                <w:tcPr>
                  <w:tcW w:w="740" w:type="pct"/>
                  <w:vAlign w:val="center"/>
                </w:tcPr>
                <w:p w14:paraId="6BF2B21A">
                  <w:pPr>
                    <w:spacing w:line="360" w:lineRule="auto"/>
                    <w:jc w:val="center"/>
                    <w:rPr>
                      <w:rFonts w:ascii="仿宋" w:hAnsi="仿宋" w:eastAsia="仿宋"/>
                      <w:sz w:val="20"/>
                      <w:szCs w:val="20"/>
                    </w:rPr>
                  </w:pPr>
                  <w:r>
                    <w:rPr>
                      <w:rFonts w:hint="eastAsia" w:ascii="仿宋" w:hAnsi="仿宋" w:eastAsia="仿宋"/>
                      <w:sz w:val="20"/>
                      <w:szCs w:val="20"/>
                    </w:rPr>
                    <w:t>备注</w:t>
                  </w:r>
                </w:p>
              </w:tc>
            </w:tr>
            <w:tr w14:paraId="7FB8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434" w:type="pct"/>
                  <w:vAlign w:val="center"/>
                </w:tcPr>
                <w:p w14:paraId="4A81167D">
                  <w:pPr>
                    <w:spacing w:line="360" w:lineRule="auto"/>
                    <w:jc w:val="center"/>
                    <w:rPr>
                      <w:rFonts w:ascii="仿宋" w:hAnsi="仿宋" w:eastAsia="仿宋"/>
                      <w:sz w:val="20"/>
                      <w:szCs w:val="20"/>
                    </w:rPr>
                  </w:pPr>
                  <w:r>
                    <w:rPr>
                      <w:rFonts w:hint="eastAsia" w:ascii="仿宋" w:hAnsi="仿宋" w:eastAsia="仿宋"/>
                      <w:sz w:val="20"/>
                      <w:szCs w:val="20"/>
                    </w:rPr>
                    <w:t>1</w:t>
                  </w:r>
                </w:p>
              </w:tc>
              <w:tc>
                <w:tcPr>
                  <w:tcW w:w="2630" w:type="pct"/>
                  <w:vAlign w:val="center"/>
                </w:tcPr>
                <w:p w14:paraId="7AA03CC8">
                  <w:pPr>
                    <w:spacing w:line="360" w:lineRule="auto"/>
                    <w:jc w:val="center"/>
                    <w:rPr>
                      <w:rFonts w:ascii="仿宋" w:hAnsi="仿宋" w:eastAsia="仿宋"/>
                      <w:sz w:val="20"/>
                      <w:szCs w:val="20"/>
                    </w:rPr>
                  </w:pPr>
                  <w:bookmarkStart w:id="0" w:name="OLE_LINK20"/>
                  <w:bookmarkStart w:id="1" w:name="OLE_LINK21"/>
                  <w:r>
                    <w:rPr>
                      <w:rFonts w:hint="eastAsia" w:ascii="仿宋" w:hAnsi="仿宋" w:eastAsia="仿宋"/>
                      <w:sz w:val="20"/>
                      <w:szCs w:val="20"/>
                    </w:rPr>
                    <w:t>地震</w:t>
                  </w:r>
                  <w:r>
                    <w:rPr>
                      <w:rFonts w:hint="eastAsia" w:ascii="仿宋" w:hAnsi="仿宋" w:eastAsia="仿宋" w:cs="宋体"/>
                      <w:sz w:val="20"/>
                      <w:szCs w:val="20"/>
                    </w:rPr>
                    <w:t>预警</w:t>
                  </w:r>
                  <w:r>
                    <w:rPr>
                      <w:rFonts w:hint="eastAsia" w:ascii="仿宋" w:hAnsi="仿宋" w:eastAsia="仿宋"/>
                      <w:sz w:val="20"/>
                      <w:szCs w:val="20"/>
                    </w:rPr>
                    <w:t>广播终端</w:t>
                  </w:r>
                  <w:bookmarkEnd w:id="0"/>
                  <w:bookmarkEnd w:id="1"/>
                </w:p>
                <w:p w14:paraId="5548956C">
                  <w:pPr>
                    <w:spacing w:line="360" w:lineRule="auto"/>
                    <w:jc w:val="center"/>
                    <w:rPr>
                      <w:rFonts w:ascii="仿宋" w:hAnsi="仿宋" w:eastAsia="仿宋"/>
                      <w:sz w:val="20"/>
                      <w:szCs w:val="20"/>
                    </w:rPr>
                  </w:pPr>
                  <w:r>
                    <w:rPr>
                      <w:rFonts w:hint="eastAsia" w:ascii="仿宋" w:hAnsi="仿宋" w:eastAsia="仿宋"/>
                      <w:sz w:val="20"/>
                      <w:szCs w:val="20"/>
                    </w:rPr>
                    <w:t>（包含：1个预警广播终端+2个高音喇叭）</w:t>
                  </w:r>
                </w:p>
              </w:tc>
              <w:tc>
                <w:tcPr>
                  <w:tcW w:w="453" w:type="pct"/>
                  <w:vAlign w:val="center"/>
                </w:tcPr>
                <w:p w14:paraId="5C992C2C">
                  <w:pPr>
                    <w:spacing w:line="360" w:lineRule="auto"/>
                    <w:jc w:val="center"/>
                    <w:rPr>
                      <w:rFonts w:ascii="仿宋" w:hAnsi="仿宋" w:eastAsia="仿宋"/>
                      <w:sz w:val="20"/>
                      <w:szCs w:val="20"/>
                    </w:rPr>
                  </w:pPr>
                  <w:r>
                    <w:rPr>
                      <w:rFonts w:hint="eastAsia" w:ascii="仿宋" w:hAnsi="仿宋" w:eastAsia="仿宋"/>
                      <w:sz w:val="20"/>
                      <w:szCs w:val="20"/>
                    </w:rPr>
                    <w:t>套</w:t>
                  </w:r>
                </w:p>
              </w:tc>
              <w:tc>
                <w:tcPr>
                  <w:tcW w:w="740" w:type="pct"/>
                  <w:vAlign w:val="center"/>
                </w:tcPr>
                <w:p w14:paraId="7B4068F3">
                  <w:pPr>
                    <w:spacing w:line="360" w:lineRule="auto"/>
                    <w:jc w:val="center"/>
                    <w:rPr>
                      <w:rFonts w:ascii="仿宋" w:hAnsi="仿宋" w:eastAsia="仿宋"/>
                      <w:sz w:val="20"/>
                      <w:szCs w:val="20"/>
                    </w:rPr>
                  </w:pPr>
                  <w:r>
                    <w:rPr>
                      <w:rFonts w:hint="eastAsia" w:ascii="仿宋" w:hAnsi="仿宋" w:eastAsia="仿宋"/>
                      <w:sz w:val="20"/>
                      <w:szCs w:val="20"/>
                    </w:rPr>
                    <w:t>3320</w:t>
                  </w:r>
                </w:p>
              </w:tc>
              <w:tc>
                <w:tcPr>
                  <w:tcW w:w="740" w:type="pct"/>
                  <w:vAlign w:val="center"/>
                </w:tcPr>
                <w:p w14:paraId="1D04BCAF">
                  <w:pPr>
                    <w:spacing w:line="360" w:lineRule="auto"/>
                    <w:jc w:val="center"/>
                    <w:rPr>
                      <w:rFonts w:ascii="仿宋" w:hAnsi="仿宋" w:eastAsia="仿宋"/>
                      <w:sz w:val="20"/>
                      <w:szCs w:val="20"/>
                    </w:rPr>
                  </w:pPr>
                  <w:r>
                    <w:rPr>
                      <w:rFonts w:hint="eastAsia" w:ascii="仿宋" w:hAnsi="仿宋" w:eastAsia="仿宋"/>
                      <w:b/>
                      <w:bCs/>
                      <w:sz w:val="20"/>
                      <w:szCs w:val="20"/>
                    </w:rPr>
                    <w:t>核心产品</w:t>
                  </w:r>
                </w:p>
              </w:tc>
            </w:tr>
            <w:tr w14:paraId="1A61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4" w:type="pct"/>
                  <w:vAlign w:val="center"/>
                </w:tcPr>
                <w:p w14:paraId="3C0BABB9">
                  <w:pPr>
                    <w:spacing w:line="360" w:lineRule="auto"/>
                    <w:jc w:val="center"/>
                    <w:rPr>
                      <w:rFonts w:ascii="仿宋" w:hAnsi="仿宋" w:eastAsia="仿宋"/>
                      <w:sz w:val="20"/>
                      <w:szCs w:val="20"/>
                    </w:rPr>
                  </w:pPr>
                  <w:r>
                    <w:rPr>
                      <w:rFonts w:hint="eastAsia" w:ascii="仿宋" w:hAnsi="仿宋" w:eastAsia="仿宋"/>
                      <w:sz w:val="20"/>
                      <w:szCs w:val="20"/>
                    </w:rPr>
                    <w:t>2</w:t>
                  </w:r>
                </w:p>
              </w:tc>
              <w:tc>
                <w:tcPr>
                  <w:tcW w:w="2630" w:type="pct"/>
                  <w:vAlign w:val="center"/>
                </w:tcPr>
                <w:p w14:paraId="26C7BB7D">
                  <w:pPr>
                    <w:spacing w:line="360" w:lineRule="auto"/>
                    <w:jc w:val="center"/>
                    <w:rPr>
                      <w:rFonts w:ascii="仿宋" w:hAnsi="仿宋" w:eastAsia="仿宋"/>
                      <w:sz w:val="20"/>
                      <w:szCs w:val="20"/>
                    </w:rPr>
                  </w:pPr>
                  <w:r>
                    <w:rPr>
                      <w:rFonts w:hint="eastAsia" w:ascii="仿宋" w:hAnsi="仿宋" w:eastAsia="仿宋" w:cs="宋体"/>
                      <w:sz w:val="20"/>
                      <w:szCs w:val="20"/>
                    </w:rPr>
                    <w:t>地震预警终端管理平台</w:t>
                  </w:r>
                </w:p>
              </w:tc>
              <w:tc>
                <w:tcPr>
                  <w:tcW w:w="453" w:type="pct"/>
                  <w:vAlign w:val="center"/>
                </w:tcPr>
                <w:p w14:paraId="577077BC">
                  <w:pPr>
                    <w:spacing w:line="360" w:lineRule="auto"/>
                    <w:jc w:val="center"/>
                    <w:rPr>
                      <w:rFonts w:ascii="仿宋" w:hAnsi="仿宋" w:eastAsia="仿宋"/>
                      <w:sz w:val="20"/>
                      <w:szCs w:val="20"/>
                    </w:rPr>
                  </w:pPr>
                  <w:r>
                    <w:rPr>
                      <w:rFonts w:hint="eastAsia" w:ascii="仿宋" w:hAnsi="仿宋" w:eastAsia="仿宋"/>
                      <w:sz w:val="20"/>
                      <w:szCs w:val="20"/>
                    </w:rPr>
                    <w:t>套</w:t>
                  </w:r>
                </w:p>
              </w:tc>
              <w:tc>
                <w:tcPr>
                  <w:tcW w:w="740" w:type="pct"/>
                  <w:vAlign w:val="center"/>
                </w:tcPr>
                <w:p w14:paraId="10AE5286">
                  <w:pPr>
                    <w:spacing w:line="360" w:lineRule="auto"/>
                    <w:jc w:val="center"/>
                    <w:rPr>
                      <w:rFonts w:ascii="仿宋" w:hAnsi="仿宋" w:eastAsia="仿宋"/>
                      <w:sz w:val="20"/>
                      <w:szCs w:val="20"/>
                    </w:rPr>
                  </w:pPr>
                  <w:r>
                    <w:rPr>
                      <w:rFonts w:hint="eastAsia" w:ascii="仿宋" w:hAnsi="仿宋" w:eastAsia="仿宋"/>
                      <w:sz w:val="20"/>
                      <w:szCs w:val="20"/>
                    </w:rPr>
                    <w:t>1</w:t>
                  </w:r>
                </w:p>
              </w:tc>
              <w:tc>
                <w:tcPr>
                  <w:tcW w:w="740" w:type="pct"/>
                  <w:vAlign w:val="center"/>
                </w:tcPr>
                <w:p w14:paraId="6EE36B9B">
                  <w:pPr>
                    <w:spacing w:line="360" w:lineRule="auto"/>
                    <w:jc w:val="center"/>
                    <w:rPr>
                      <w:rFonts w:ascii="仿宋" w:hAnsi="仿宋" w:eastAsia="仿宋"/>
                      <w:sz w:val="20"/>
                      <w:szCs w:val="20"/>
                    </w:rPr>
                  </w:pPr>
                </w:p>
              </w:tc>
            </w:tr>
          </w:tbl>
          <w:p w14:paraId="04E91BCD">
            <w:pPr>
              <w:rPr>
                <w:rFonts w:ascii="仿宋" w:hAnsi="仿宋" w:eastAsia="仿宋"/>
                <w:sz w:val="20"/>
                <w:szCs w:val="20"/>
              </w:rPr>
            </w:pPr>
          </w:p>
        </w:tc>
      </w:tr>
      <w:tr w14:paraId="44AB52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5" w:type="pct"/>
          </w:tcPr>
          <w:p w14:paraId="7A071719">
            <w:pPr>
              <w:pStyle w:val="5"/>
              <w:rPr>
                <w:rFonts w:hint="default" w:ascii="仿宋" w:hAnsi="仿宋" w:eastAsia="仿宋"/>
              </w:rPr>
            </w:pPr>
            <w:r>
              <w:rPr>
                <w:rFonts w:ascii="仿宋" w:hAnsi="仿宋" w:eastAsia="仿宋" w:cs="仿宋_GB2312"/>
              </w:rPr>
              <w:t>2</w:t>
            </w:r>
          </w:p>
        </w:tc>
        <w:tc>
          <w:tcPr>
            <w:tcW w:w="452" w:type="pct"/>
          </w:tcPr>
          <w:p w14:paraId="586C1CA0">
            <w:pPr>
              <w:rPr>
                <w:rFonts w:ascii="仿宋" w:hAnsi="仿宋" w:eastAsia="仿宋"/>
                <w:sz w:val="20"/>
                <w:szCs w:val="20"/>
              </w:rPr>
            </w:pPr>
          </w:p>
        </w:tc>
        <w:tc>
          <w:tcPr>
            <w:tcW w:w="4272" w:type="pct"/>
          </w:tcPr>
          <w:p w14:paraId="6EF5834F">
            <w:pPr>
              <w:spacing w:line="360" w:lineRule="auto"/>
              <w:rPr>
                <w:rFonts w:ascii="仿宋" w:hAnsi="仿宋" w:eastAsia="仿宋"/>
                <w:b/>
                <w:bCs/>
                <w:sz w:val="20"/>
                <w:szCs w:val="20"/>
              </w:rPr>
            </w:pPr>
            <w:r>
              <w:rPr>
                <w:rFonts w:hint="eastAsia" w:ascii="仿宋" w:hAnsi="仿宋" w:eastAsia="仿宋"/>
                <w:b/>
                <w:bCs/>
                <w:sz w:val="20"/>
                <w:szCs w:val="20"/>
              </w:rPr>
              <w:t>二、技术参数</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857"/>
              <w:gridCol w:w="5564"/>
            </w:tblGrid>
            <w:tr w14:paraId="6E29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9" w:type="pct"/>
                  <w:vAlign w:val="center"/>
                </w:tcPr>
                <w:p w14:paraId="5BBB6177">
                  <w:pPr>
                    <w:spacing w:line="360" w:lineRule="auto"/>
                    <w:jc w:val="center"/>
                    <w:rPr>
                      <w:rFonts w:ascii="仿宋" w:hAnsi="仿宋" w:eastAsia="仿宋"/>
                      <w:sz w:val="20"/>
                      <w:szCs w:val="20"/>
                    </w:rPr>
                  </w:pPr>
                  <w:r>
                    <w:rPr>
                      <w:rFonts w:hint="eastAsia" w:ascii="仿宋" w:hAnsi="仿宋" w:eastAsia="仿宋" w:cs="宋体"/>
                      <w:bCs/>
                      <w:sz w:val="20"/>
                      <w:szCs w:val="20"/>
                    </w:rPr>
                    <w:t>序号</w:t>
                  </w:r>
                </w:p>
              </w:tc>
              <w:tc>
                <w:tcPr>
                  <w:tcW w:w="607" w:type="pct"/>
                  <w:vAlign w:val="center"/>
                </w:tcPr>
                <w:p w14:paraId="3E96F510">
                  <w:pPr>
                    <w:spacing w:line="360" w:lineRule="auto"/>
                    <w:jc w:val="center"/>
                    <w:rPr>
                      <w:rFonts w:ascii="仿宋" w:hAnsi="仿宋" w:eastAsia="仿宋"/>
                      <w:sz w:val="20"/>
                      <w:szCs w:val="20"/>
                    </w:rPr>
                  </w:pPr>
                  <w:r>
                    <w:rPr>
                      <w:rFonts w:hint="eastAsia" w:ascii="仿宋" w:hAnsi="仿宋" w:eastAsia="仿宋"/>
                      <w:sz w:val="20"/>
                      <w:szCs w:val="20"/>
                    </w:rPr>
                    <w:t>标的名称</w:t>
                  </w:r>
                </w:p>
              </w:tc>
              <w:tc>
                <w:tcPr>
                  <w:tcW w:w="3942" w:type="pct"/>
                  <w:vAlign w:val="center"/>
                </w:tcPr>
                <w:p w14:paraId="404430B1">
                  <w:pPr>
                    <w:spacing w:line="360" w:lineRule="auto"/>
                    <w:jc w:val="center"/>
                    <w:rPr>
                      <w:rFonts w:ascii="仿宋" w:hAnsi="仿宋" w:eastAsia="仿宋"/>
                      <w:sz w:val="20"/>
                      <w:szCs w:val="20"/>
                    </w:rPr>
                  </w:pPr>
                  <w:r>
                    <w:rPr>
                      <w:rFonts w:hint="eastAsia" w:ascii="仿宋" w:hAnsi="仿宋" w:eastAsia="仿宋" w:cs="宋体"/>
                      <w:bCs/>
                      <w:sz w:val="20"/>
                      <w:szCs w:val="20"/>
                    </w:rPr>
                    <w:t>指标要求</w:t>
                  </w:r>
                </w:p>
              </w:tc>
            </w:tr>
            <w:tr w14:paraId="4C4FE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restart"/>
                  <w:vAlign w:val="center"/>
                </w:tcPr>
                <w:p w14:paraId="492B3BAC">
                  <w:pPr>
                    <w:spacing w:line="360" w:lineRule="auto"/>
                    <w:jc w:val="center"/>
                    <w:rPr>
                      <w:rFonts w:ascii="仿宋" w:hAnsi="仿宋" w:eastAsia="仿宋" w:cs="宋体"/>
                      <w:bCs/>
                      <w:sz w:val="20"/>
                      <w:szCs w:val="20"/>
                    </w:rPr>
                  </w:pPr>
                  <w:r>
                    <w:rPr>
                      <w:rFonts w:hint="eastAsia" w:ascii="仿宋" w:hAnsi="仿宋" w:eastAsia="仿宋" w:cs="宋体"/>
                      <w:bCs/>
                      <w:sz w:val="20"/>
                      <w:szCs w:val="20"/>
                    </w:rPr>
                    <w:t>1</w:t>
                  </w:r>
                </w:p>
              </w:tc>
              <w:tc>
                <w:tcPr>
                  <w:tcW w:w="607" w:type="pct"/>
                  <w:vMerge w:val="restart"/>
                  <w:vAlign w:val="center"/>
                </w:tcPr>
                <w:p w14:paraId="1A9D1685">
                  <w:pPr>
                    <w:spacing w:line="360" w:lineRule="auto"/>
                    <w:jc w:val="center"/>
                    <w:rPr>
                      <w:rFonts w:ascii="仿宋" w:hAnsi="仿宋" w:eastAsia="仿宋"/>
                      <w:sz w:val="20"/>
                      <w:szCs w:val="20"/>
                    </w:rPr>
                  </w:pPr>
                  <w:r>
                    <w:rPr>
                      <w:rFonts w:hint="eastAsia" w:ascii="仿宋" w:hAnsi="仿宋" w:eastAsia="仿宋"/>
                      <w:sz w:val="20"/>
                      <w:szCs w:val="20"/>
                    </w:rPr>
                    <w:t>地震</w:t>
                  </w:r>
                  <w:r>
                    <w:rPr>
                      <w:rFonts w:hint="eastAsia" w:ascii="仿宋" w:hAnsi="仿宋" w:eastAsia="仿宋" w:cs="宋体"/>
                      <w:sz w:val="20"/>
                      <w:szCs w:val="20"/>
                    </w:rPr>
                    <w:t>预警</w:t>
                  </w:r>
                  <w:r>
                    <w:rPr>
                      <w:rFonts w:hint="eastAsia" w:ascii="仿宋" w:hAnsi="仿宋" w:eastAsia="仿宋"/>
                      <w:sz w:val="20"/>
                      <w:szCs w:val="20"/>
                    </w:rPr>
                    <w:t>广播终端</w:t>
                  </w:r>
                </w:p>
              </w:tc>
              <w:tc>
                <w:tcPr>
                  <w:tcW w:w="3942" w:type="pct"/>
                  <w:vAlign w:val="center"/>
                </w:tcPr>
                <w:p w14:paraId="1775A869">
                  <w:pPr>
                    <w:widowControl/>
                    <w:spacing w:line="360" w:lineRule="auto"/>
                    <w:rPr>
                      <w:rFonts w:ascii="仿宋" w:hAnsi="仿宋" w:eastAsia="仿宋" w:cs="宋体"/>
                      <w:sz w:val="20"/>
                      <w:szCs w:val="20"/>
                    </w:rPr>
                  </w:pPr>
                  <w:r>
                    <w:rPr>
                      <w:rFonts w:hint="eastAsia" w:ascii="仿宋" w:hAnsi="仿宋" w:eastAsia="仿宋" w:cs="宋体"/>
                      <w:sz w:val="20"/>
                      <w:szCs w:val="20"/>
                    </w:rPr>
                    <w:t>基本要求：符合《中国地震预警网地震预警信息发布指南》和《国家地震烈度速报与预警工程项目紧急地震信息服务终端相关技术要求》等技术规范规定的通信协议和信息结构；</w:t>
                  </w:r>
                </w:p>
                <w:p w14:paraId="17CA918C">
                  <w:pPr>
                    <w:pStyle w:val="6"/>
                    <w:widowControl/>
                    <w:numPr>
                      <w:ilvl w:val="0"/>
                      <w:numId w:val="1"/>
                    </w:numPr>
                    <w:spacing w:line="360" w:lineRule="auto"/>
                    <w:ind w:left="0" w:firstLine="0" w:firstLineChars="0"/>
                    <w:jc w:val="left"/>
                    <w:rPr>
                      <w:rFonts w:ascii="仿宋" w:hAnsi="仿宋" w:eastAsia="仿宋" w:cs="宋体"/>
                      <w:sz w:val="20"/>
                      <w:szCs w:val="20"/>
                      <w:lang w:bidi="ar"/>
                    </w:rPr>
                  </w:pPr>
                  <w:r>
                    <w:rPr>
                      <w:rFonts w:hint="eastAsia" w:ascii="仿宋_GB2312" w:hAnsi="仿宋_GB2312" w:eastAsia="仿宋_GB2312" w:cs="仿宋_GB2312"/>
                    </w:rPr>
                    <w:t>★</w:t>
                  </w:r>
                  <w:r>
                    <w:rPr>
                      <w:rFonts w:hint="eastAsia" w:ascii="仿宋" w:hAnsi="仿宋" w:eastAsia="仿宋" w:cs="宋体"/>
                      <w:sz w:val="20"/>
                      <w:szCs w:val="20"/>
                      <w:lang w:bidi="ar"/>
                    </w:rPr>
                    <w:t>灵敏度：≥90dB，需提供国家认可的第三方检测机构出具的具有CMA标识的检测报告复印件；</w:t>
                  </w:r>
                </w:p>
                <w:p w14:paraId="513E73B0">
                  <w:pPr>
                    <w:pStyle w:val="6"/>
                    <w:widowControl/>
                    <w:numPr>
                      <w:ilvl w:val="0"/>
                      <w:numId w:val="1"/>
                    </w:numPr>
                    <w:spacing w:line="360" w:lineRule="auto"/>
                    <w:ind w:left="0" w:firstLine="0" w:firstLineChars="0"/>
                    <w:jc w:val="left"/>
                    <w:rPr>
                      <w:rFonts w:ascii="仿宋" w:hAnsi="仿宋" w:eastAsia="仿宋"/>
                      <w:sz w:val="20"/>
                      <w:szCs w:val="20"/>
                    </w:rPr>
                  </w:pPr>
                  <w:r>
                    <w:rPr>
                      <w:rFonts w:ascii="仿宋_GB2312" w:hAnsi="仿宋_GB2312" w:eastAsia="仿宋_GB2312" w:cs="仿宋_GB2312"/>
                    </w:rPr>
                    <w:t>▲</w:t>
                  </w:r>
                  <w:r>
                    <w:rPr>
                      <w:rFonts w:hint="eastAsia" w:ascii="仿宋" w:hAnsi="仿宋" w:eastAsia="仿宋" w:cs="宋体"/>
                      <w:sz w:val="20"/>
                      <w:szCs w:val="20"/>
                      <w:lang w:bidi="ar"/>
                    </w:rPr>
                    <w:t>功放</w:t>
                  </w:r>
                  <w:r>
                    <w:rPr>
                      <w:rFonts w:hint="eastAsia" w:ascii="仿宋" w:hAnsi="仿宋" w:eastAsia="仿宋"/>
                      <w:sz w:val="20"/>
                      <w:szCs w:val="20"/>
                    </w:rPr>
                    <w:t>额定功率：≥100W，</w:t>
                  </w:r>
                  <w:r>
                    <w:rPr>
                      <w:rFonts w:hint="eastAsia" w:ascii="仿宋" w:hAnsi="仿宋" w:eastAsia="仿宋" w:cs="宋体"/>
                      <w:sz w:val="20"/>
                      <w:szCs w:val="20"/>
                      <w:lang w:bidi="ar"/>
                    </w:rPr>
                    <w:t>需提供国家认可的第三方检测机构出具的具有CMA标识的检测报告复印件</w:t>
                  </w:r>
                  <w:r>
                    <w:rPr>
                      <w:rFonts w:hint="eastAsia" w:ascii="仿宋" w:hAnsi="仿宋" w:eastAsia="仿宋"/>
                      <w:sz w:val="20"/>
                      <w:szCs w:val="20"/>
                    </w:rPr>
                    <w:t>；</w:t>
                  </w:r>
                </w:p>
                <w:p w14:paraId="63E8F9E2">
                  <w:pPr>
                    <w:pStyle w:val="6"/>
                    <w:widowControl/>
                    <w:numPr>
                      <w:ilvl w:val="0"/>
                      <w:numId w:val="1"/>
                    </w:numPr>
                    <w:spacing w:line="360" w:lineRule="auto"/>
                    <w:ind w:left="0" w:firstLine="0" w:firstLineChars="0"/>
                    <w:jc w:val="left"/>
                    <w:rPr>
                      <w:rFonts w:ascii="仿宋" w:hAnsi="仿宋" w:eastAsia="仿宋"/>
                      <w:sz w:val="20"/>
                      <w:szCs w:val="20"/>
                    </w:rPr>
                  </w:pPr>
                  <w:r>
                    <w:rPr>
                      <w:rFonts w:hint="eastAsia" w:ascii="仿宋_GB2312" w:hAnsi="仿宋_GB2312" w:eastAsia="仿宋_GB2312" w:cs="仿宋_GB2312"/>
                    </w:rPr>
                    <w:t>★</w:t>
                  </w:r>
                  <w:r>
                    <w:rPr>
                      <w:rFonts w:hint="eastAsia" w:ascii="仿宋" w:hAnsi="仿宋" w:eastAsia="仿宋"/>
                      <w:sz w:val="20"/>
                      <w:szCs w:val="20"/>
                    </w:rPr>
                    <w:t>最大声压：≥100dB，</w:t>
                  </w:r>
                  <w:r>
                    <w:rPr>
                      <w:rFonts w:hint="eastAsia" w:ascii="仿宋" w:hAnsi="仿宋" w:eastAsia="仿宋" w:cs="宋体"/>
                      <w:sz w:val="20"/>
                      <w:szCs w:val="20"/>
                      <w:lang w:bidi="ar"/>
                    </w:rPr>
                    <w:t>需提供国家认可的第三方检测机构出具的具有CMA标识的检测报告复印件</w:t>
                  </w:r>
                  <w:r>
                    <w:rPr>
                      <w:rFonts w:hint="eastAsia" w:ascii="仿宋" w:hAnsi="仿宋" w:eastAsia="仿宋"/>
                      <w:sz w:val="20"/>
                      <w:szCs w:val="20"/>
                    </w:rPr>
                    <w:t>；</w:t>
                  </w:r>
                </w:p>
                <w:p w14:paraId="7BC72FDC">
                  <w:pPr>
                    <w:pStyle w:val="6"/>
                    <w:widowControl/>
                    <w:numPr>
                      <w:ilvl w:val="0"/>
                      <w:numId w:val="1"/>
                    </w:numPr>
                    <w:spacing w:line="360" w:lineRule="auto"/>
                    <w:ind w:left="0" w:firstLine="0" w:firstLineChars="0"/>
                    <w:jc w:val="left"/>
                    <w:rPr>
                      <w:rFonts w:ascii="仿宋" w:hAnsi="仿宋" w:eastAsia="仿宋" w:cs="宋体"/>
                      <w:sz w:val="20"/>
                      <w:szCs w:val="20"/>
                      <w:lang w:bidi="ar"/>
                    </w:rPr>
                  </w:pPr>
                  <w:r>
                    <w:rPr>
                      <w:rFonts w:ascii="仿宋_GB2312" w:hAnsi="仿宋_GB2312" w:eastAsia="仿宋_GB2312" w:cs="仿宋_GB2312"/>
                    </w:rPr>
                    <w:t>▲</w:t>
                  </w:r>
                  <w:r>
                    <w:rPr>
                      <w:rFonts w:hint="eastAsia" w:ascii="仿宋" w:hAnsi="仿宋" w:eastAsia="仿宋" w:cs="宋体"/>
                      <w:sz w:val="20"/>
                      <w:szCs w:val="20"/>
                      <w:lang w:bidi="ar"/>
                    </w:rPr>
                    <w:t>防护等级：≥IP66，需提供国家认可的第三方检测机构出具的具有CMA标识的检测报告复印件；</w:t>
                  </w:r>
                </w:p>
                <w:p w14:paraId="2384062E">
                  <w:pPr>
                    <w:pStyle w:val="6"/>
                    <w:widowControl/>
                    <w:numPr>
                      <w:ilvl w:val="0"/>
                      <w:numId w:val="1"/>
                    </w:numPr>
                    <w:spacing w:line="360" w:lineRule="auto"/>
                    <w:ind w:firstLineChars="0"/>
                    <w:jc w:val="left"/>
                    <w:rPr>
                      <w:rFonts w:ascii="仿宋" w:hAnsi="仿宋" w:eastAsia="仿宋" w:cs="宋体"/>
                      <w:sz w:val="20"/>
                      <w:szCs w:val="20"/>
                      <w:lang w:bidi="ar"/>
                    </w:rPr>
                  </w:pPr>
                  <w:r>
                    <w:rPr>
                      <w:rFonts w:hint="eastAsia" w:ascii="仿宋" w:hAnsi="仿宋" w:eastAsia="仿宋" w:cs="宋体"/>
                      <w:sz w:val="20"/>
                      <w:szCs w:val="20"/>
                      <w:lang w:bidi="ar"/>
                    </w:rPr>
                    <w:t>工作温度：-20℃～+45℃；</w:t>
                  </w:r>
                </w:p>
                <w:p w14:paraId="1AEDE4E9">
                  <w:pPr>
                    <w:pStyle w:val="6"/>
                    <w:widowControl/>
                    <w:numPr>
                      <w:ilvl w:val="0"/>
                      <w:numId w:val="1"/>
                    </w:numPr>
                    <w:spacing w:line="360" w:lineRule="auto"/>
                    <w:ind w:firstLineChars="0"/>
                    <w:jc w:val="left"/>
                    <w:rPr>
                      <w:rFonts w:ascii="仿宋" w:hAnsi="仿宋" w:eastAsia="仿宋" w:cs="宋体"/>
                      <w:sz w:val="20"/>
                      <w:szCs w:val="20"/>
                      <w:lang w:bidi="ar"/>
                    </w:rPr>
                  </w:pPr>
                  <w:r>
                    <w:rPr>
                      <w:rFonts w:hint="eastAsia" w:ascii="仿宋" w:hAnsi="仿宋" w:eastAsia="仿宋" w:cs="宋体"/>
                      <w:sz w:val="20"/>
                      <w:szCs w:val="20"/>
                      <w:lang w:bidi="ar"/>
                    </w:rPr>
                    <w:t>相对湿度：10%～90%RH无冷凝；</w:t>
                  </w:r>
                </w:p>
                <w:p w14:paraId="33737C16">
                  <w:pPr>
                    <w:pStyle w:val="6"/>
                    <w:widowControl/>
                    <w:numPr>
                      <w:ilvl w:val="0"/>
                      <w:numId w:val="1"/>
                    </w:numPr>
                    <w:spacing w:line="360" w:lineRule="auto"/>
                    <w:ind w:left="0" w:firstLine="0" w:firstLineChars="0"/>
                    <w:jc w:val="left"/>
                    <w:rPr>
                      <w:rFonts w:ascii="仿宋" w:hAnsi="仿宋" w:eastAsia="仿宋" w:cs="宋体"/>
                      <w:sz w:val="20"/>
                      <w:szCs w:val="20"/>
                      <w:lang w:bidi="ar"/>
                    </w:rPr>
                  </w:pPr>
                  <w:r>
                    <w:rPr>
                      <w:rFonts w:hint="eastAsia" w:ascii="仿宋" w:hAnsi="仿宋" w:eastAsia="仿宋" w:cs="宋体"/>
                      <w:sz w:val="20"/>
                      <w:szCs w:val="20"/>
                      <w:lang w:bidi="ar"/>
                    </w:rPr>
                    <w:t>安装方式：固定安装方式；</w:t>
                  </w:r>
                </w:p>
                <w:p w14:paraId="706C2FBB">
                  <w:pPr>
                    <w:pStyle w:val="6"/>
                    <w:widowControl/>
                    <w:numPr>
                      <w:ilvl w:val="0"/>
                      <w:numId w:val="1"/>
                    </w:numPr>
                    <w:spacing w:line="360" w:lineRule="auto"/>
                    <w:ind w:firstLineChars="0"/>
                    <w:jc w:val="left"/>
                    <w:rPr>
                      <w:rFonts w:ascii="仿宋" w:hAnsi="仿宋" w:eastAsia="仿宋" w:cs="宋体"/>
                      <w:sz w:val="20"/>
                      <w:szCs w:val="20"/>
                      <w:lang w:bidi="ar"/>
                    </w:rPr>
                  </w:pPr>
                  <w:r>
                    <w:rPr>
                      <w:rFonts w:hint="eastAsia" w:ascii="仿宋" w:hAnsi="仿宋" w:eastAsia="仿宋" w:cs="宋体"/>
                      <w:sz w:val="20"/>
                      <w:szCs w:val="20"/>
                      <w:lang w:bidi="ar"/>
                    </w:rPr>
                    <w:t>供电方式：220</w:t>
                  </w:r>
                  <w:r>
                    <w:rPr>
                      <w:rFonts w:hint="eastAsia" w:ascii="仿宋" w:hAnsi="仿宋" w:eastAsia="仿宋" w:cs="MS Gothic"/>
                      <w:sz w:val="20"/>
                      <w:szCs w:val="20"/>
                      <w:lang w:bidi="ar"/>
                    </w:rPr>
                    <w:t>±</w:t>
                  </w:r>
                  <w:r>
                    <w:rPr>
                      <w:rFonts w:hint="eastAsia" w:ascii="仿宋" w:hAnsi="仿宋" w:eastAsia="仿宋" w:cs="宋体"/>
                      <w:sz w:val="20"/>
                      <w:szCs w:val="20"/>
                      <w:lang w:bidi="ar"/>
                    </w:rPr>
                    <w:t>10%V AC；</w:t>
                  </w:r>
                </w:p>
                <w:p w14:paraId="01700DAD">
                  <w:pPr>
                    <w:pStyle w:val="6"/>
                    <w:widowControl/>
                    <w:numPr>
                      <w:ilvl w:val="0"/>
                      <w:numId w:val="1"/>
                    </w:numPr>
                    <w:spacing w:line="360" w:lineRule="auto"/>
                    <w:ind w:left="0" w:firstLine="0" w:firstLineChars="0"/>
                    <w:jc w:val="left"/>
                    <w:rPr>
                      <w:rFonts w:ascii="仿宋" w:hAnsi="仿宋" w:eastAsia="仿宋" w:cs="宋体"/>
                      <w:sz w:val="20"/>
                      <w:szCs w:val="20"/>
                      <w:lang w:bidi="ar"/>
                    </w:rPr>
                  </w:pPr>
                  <w:r>
                    <w:rPr>
                      <w:rFonts w:hint="eastAsia" w:ascii="仿宋" w:hAnsi="仿宋" w:eastAsia="仿宋" w:cs="宋体"/>
                      <w:sz w:val="20"/>
                      <w:szCs w:val="20"/>
                      <w:lang w:bidi="ar"/>
                    </w:rPr>
                    <w:t>通信接口：支持三网4G/5G物联网通信通信接口；</w:t>
                  </w:r>
                </w:p>
                <w:p w14:paraId="42C95953">
                  <w:pPr>
                    <w:pStyle w:val="6"/>
                    <w:widowControl/>
                    <w:numPr>
                      <w:ilvl w:val="0"/>
                      <w:numId w:val="1"/>
                    </w:numPr>
                    <w:spacing w:line="360" w:lineRule="auto"/>
                    <w:ind w:left="0" w:firstLine="0" w:firstLineChars="0"/>
                    <w:jc w:val="left"/>
                    <w:rPr>
                      <w:rFonts w:ascii="仿宋" w:hAnsi="仿宋" w:eastAsia="仿宋" w:cs="宋体"/>
                      <w:sz w:val="20"/>
                      <w:szCs w:val="20"/>
                      <w:lang w:bidi="ar"/>
                    </w:rPr>
                  </w:pPr>
                  <w:r>
                    <w:rPr>
                      <w:rFonts w:ascii="仿宋_GB2312" w:hAnsi="仿宋_GB2312" w:eastAsia="仿宋_GB2312" w:cs="仿宋_GB2312"/>
                    </w:rPr>
                    <w:t>▲</w:t>
                  </w:r>
                  <w:r>
                    <w:rPr>
                      <w:rFonts w:hint="eastAsia" w:ascii="仿宋" w:hAnsi="仿宋" w:eastAsia="仿宋" w:cs="宋体"/>
                      <w:sz w:val="20"/>
                      <w:szCs w:val="20"/>
                      <w:lang w:bidi="ar"/>
                    </w:rPr>
                    <w:t>有效预警声音信号传送距离：≥200米，需提供国家认可的第三方检测机构出具的具有CMA标识的检测报告复印件；</w:t>
                  </w:r>
                </w:p>
                <w:p w14:paraId="417496D3">
                  <w:pPr>
                    <w:pStyle w:val="6"/>
                    <w:widowControl/>
                    <w:numPr>
                      <w:ilvl w:val="0"/>
                      <w:numId w:val="1"/>
                    </w:numPr>
                    <w:spacing w:line="360" w:lineRule="auto"/>
                    <w:ind w:left="0" w:firstLine="0" w:firstLineChars="0"/>
                    <w:jc w:val="left"/>
                    <w:rPr>
                      <w:rFonts w:ascii="仿宋" w:hAnsi="仿宋" w:eastAsia="仿宋" w:cs="宋体"/>
                      <w:sz w:val="20"/>
                      <w:szCs w:val="20"/>
                      <w:lang w:bidi="ar"/>
                    </w:rPr>
                  </w:pPr>
                  <w:r>
                    <w:rPr>
                      <w:rFonts w:hint="eastAsia" w:ascii="仿宋" w:hAnsi="仿宋" w:eastAsia="仿宋" w:cs="宋体"/>
                      <w:sz w:val="20"/>
                      <w:szCs w:val="20"/>
                      <w:lang w:bidi="ar"/>
                    </w:rPr>
                    <w:t>每套广播终端含2个喇叭，单个喇叭额定功率</w:t>
                  </w:r>
                  <w:r>
                    <w:rPr>
                      <w:rFonts w:hint="eastAsia" w:ascii="仿宋" w:hAnsi="仿宋" w:eastAsia="仿宋"/>
                      <w:sz w:val="20"/>
                      <w:szCs w:val="20"/>
                    </w:rPr>
                    <w:t>≥50W</w:t>
                  </w:r>
                  <w:r>
                    <w:rPr>
                      <w:rFonts w:hint="eastAsia" w:ascii="仿宋" w:hAnsi="仿宋" w:eastAsia="仿宋" w:cs="宋体"/>
                      <w:sz w:val="20"/>
                      <w:szCs w:val="20"/>
                      <w:lang w:bidi="ar"/>
                    </w:rPr>
                    <w:t>；</w:t>
                  </w:r>
                </w:p>
                <w:p w14:paraId="30CB0182">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cs="宋体"/>
                      <w:sz w:val="20"/>
                      <w:szCs w:val="20"/>
                      <w:lang w:bidi="ar"/>
                    </w:rPr>
                    <w:t>功率：待机≤5W，满负荷运行≤100W(网络连接正常，系统运行正常状态下)；</w:t>
                  </w:r>
                </w:p>
              </w:tc>
            </w:tr>
            <w:tr w14:paraId="656E8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30A31AE7">
                  <w:pPr>
                    <w:spacing w:line="360" w:lineRule="auto"/>
                    <w:jc w:val="center"/>
                    <w:rPr>
                      <w:rFonts w:ascii="仿宋" w:hAnsi="仿宋" w:eastAsia="仿宋" w:cs="宋体"/>
                      <w:bCs/>
                      <w:sz w:val="20"/>
                      <w:szCs w:val="20"/>
                    </w:rPr>
                  </w:pPr>
                </w:p>
              </w:tc>
              <w:tc>
                <w:tcPr>
                  <w:tcW w:w="607" w:type="pct"/>
                  <w:vMerge w:val="continue"/>
                  <w:vAlign w:val="center"/>
                </w:tcPr>
                <w:p w14:paraId="7C4BD141">
                  <w:pPr>
                    <w:spacing w:line="360" w:lineRule="auto"/>
                    <w:jc w:val="center"/>
                    <w:rPr>
                      <w:rFonts w:ascii="仿宋" w:hAnsi="仿宋" w:eastAsia="仿宋"/>
                      <w:sz w:val="20"/>
                      <w:szCs w:val="20"/>
                    </w:rPr>
                  </w:pPr>
                </w:p>
              </w:tc>
              <w:tc>
                <w:tcPr>
                  <w:tcW w:w="3942" w:type="pct"/>
                  <w:vAlign w:val="center"/>
                </w:tcPr>
                <w:p w14:paraId="03A79371">
                  <w:pPr>
                    <w:pStyle w:val="6"/>
                    <w:numPr>
                      <w:ilvl w:val="0"/>
                      <w:numId w:val="1"/>
                    </w:numPr>
                    <w:spacing w:line="360" w:lineRule="auto"/>
                    <w:ind w:left="0" w:firstLine="0" w:firstLineChars="0"/>
                    <w:rPr>
                      <w:rFonts w:ascii="仿宋" w:hAnsi="仿宋" w:eastAsia="仿宋" w:cs="宋体"/>
                      <w:sz w:val="20"/>
                      <w:szCs w:val="20"/>
                      <w:lang w:bidi="ar"/>
                    </w:rPr>
                  </w:pPr>
                  <w:r>
                    <w:rPr>
                      <w:rFonts w:hint="eastAsia" w:ascii="仿宋_GB2312" w:hAnsi="仿宋_GB2312" w:eastAsia="仿宋_GB2312" w:cs="仿宋_GB2312"/>
                    </w:rPr>
                    <w:t>★</w:t>
                  </w:r>
                  <w:r>
                    <w:rPr>
                      <w:rFonts w:hint="eastAsia" w:ascii="仿宋" w:hAnsi="仿宋" w:eastAsia="仿宋" w:cs="宋体"/>
                      <w:sz w:val="20"/>
                      <w:szCs w:val="20"/>
                    </w:rPr>
                    <w:t>预警服务：</w:t>
                  </w:r>
                  <w:r>
                    <w:rPr>
                      <w:rFonts w:hint="eastAsia" w:ascii="仿宋" w:hAnsi="仿宋" w:eastAsia="仿宋" w:cs="宋体"/>
                      <w:sz w:val="20"/>
                      <w:szCs w:val="20"/>
                      <w:lang w:bidi="ar"/>
                    </w:rPr>
                    <w:t>具备计算本地烈度和预警等级功能，可根据预警信息估算本地烈度和预警等级；当终端设备处于预警响应状态下时，预警服务占用优先级最高，预警服务占用声音等资源不被其他应用占用；当终端设备同时收到多个预警信息时，优先响应预警等级高的预警事件；支持预警取消，并具备相应响应机制；具备预警事件回放功能；需提供国家认可的第三方检测机构出具的检测报告复印件；</w:t>
                  </w:r>
                </w:p>
                <w:p w14:paraId="4ED00E06">
                  <w:pPr>
                    <w:pStyle w:val="6"/>
                    <w:numPr>
                      <w:ilvl w:val="0"/>
                      <w:numId w:val="1"/>
                    </w:numPr>
                    <w:spacing w:line="360" w:lineRule="auto"/>
                    <w:ind w:left="25" w:firstLine="0" w:firstLineChars="0"/>
                    <w:rPr>
                      <w:rFonts w:ascii="仿宋" w:hAnsi="仿宋" w:eastAsia="仿宋" w:cs="宋体"/>
                      <w:sz w:val="20"/>
                      <w:szCs w:val="20"/>
                      <w:lang w:bidi="ar"/>
                    </w:rPr>
                  </w:pPr>
                  <w:r>
                    <w:rPr>
                      <w:rFonts w:hint="eastAsia" w:ascii="仿宋_GB2312" w:hAnsi="仿宋_GB2312" w:eastAsia="仿宋_GB2312" w:cs="仿宋_GB2312"/>
                    </w:rPr>
                    <w:t>★</w:t>
                  </w:r>
                  <w:r>
                    <w:rPr>
                      <w:rFonts w:hint="eastAsia" w:ascii="仿宋" w:hAnsi="仿宋" w:eastAsia="仿宋" w:cs="宋体"/>
                      <w:sz w:val="20"/>
                      <w:szCs w:val="20"/>
                      <w:lang w:bidi="ar"/>
                    </w:rPr>
                    <w:t>预警演练服务：支持自定义模拟演练数据配置，如震级、时间、发震地点等；需提供国家认可的第三方检测机构出具的检测报告复印件；</w:t>
                  </w:r>
                </w:p>
              </w:tc>
            </w:tr>
            <w:tr w14:paraId="7E1E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5BD6AF67">
                  <w:pPr>
                    <w:spacing w:line="360" w:lineRule="auto"/>
                    <w:jc w:val="center"/>
                    <w:rPr>
                      <w:rFonts w:ascii="仿宋" w:hAnsi="仿宋" w:eastAsia="仿宋" w:cs="宋体"/>
                      <w:bCs/>
                      <w:sz w:val="20"/>
                      <w:szCs w:val="20"/>
                    </w:rPr>
                  </w:pPr>
                </w:p>
              </w:tc>
              <w:tc>
                <w:tcPr>
                  <w:tcW w:w="607" w:type="pct"/>
                  <w:vMerge w:val="continue"/>
                  <w:vAlign w:val="center"/>
                </w:tcPr>
                <w:p w14:paraId="5613E10D">
                  <w:pPr>
                    <w:spacing w:line="360" w:lineRule="auto"/>
                    <w:jc w:val="center"/>
                    <w:rPr>
                      <w:rFonts w:ascii="仿宋" w:hAnsi="仿宋" w:eastAsia="仿宋"/>
                      <w:sz w:val="20"/>
                      <w:szCs w:val="20"/>
                    </w:rPr>
                  </w:pPr>
                </w:p>
              </w:tc>
              <w:tc>
                <w:tcPr>
                  <w:tcW w:w="3942" w:type="pct"/>
                  <w:vAlign w:val="center"/>
                </w:tcPr>
                <w:p w14:paraId="53AD995F">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状态监控：</w:t>
                  </w:r>
                  <w:r>
                    <w:rPr>
                      <w:rFonts w:hint="eastAsia" w:ascii="仿宋" w:hAnsi="仿宋" w:eastAsia="仿宋" w:cs="宋体"/>
                      <w:sz w:val="20"/>
                      <w:szCs w:val="20"/>
                      <w:lang w:bidi="ar"/>
                    </w:rPr>
                    <w:t>终端采用定时发送“心跳包”等形式与发布平台和终端管理平台保持连接，定时向发布平台和终端管理平台发送终端的状态信息；可根据终端管理平台发出的命令，上传终端运行状态信息；</w:t>
                  </w:r>
                </w:p>
              </w:tc>
            </w:tr>
            <w:tr w14:paraId="7DD7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659F8632">
                  <w:pPr>
                    <w:spacing w:line="360" w:lineRule="auto"/>
                    <w:jc w:val="center"/>
                    <w:rPr>
                      <w:rFonts w:ascii="仿宋" w:hAnsi="仿宋" w:eastAsia="仿宋" w:cs="宋体"/>
                      <w:bCs/>
                      <w:sz w:val="20"/>
                      <w:szCs w:val="20"/>
                    </w:rPr>
                  </w:pPr>
                </w:p>
              </w:tc>
              <w:tc>
                <w:tcPr>
                  <w:tcW w:w="607" w:type="pct"/>
                  <w:vMerge w:val="continue"/>
                  <w:vAlign w:val="center"/>
                </w:tcPr>
                <w:p w14:paraId="33EC1032">
                  <w:pPr>
                    <w:spacing w:line="360" w:lineRule="auto"/>
                    <w:jc w:val="center"/>
                    <w:rPr>
                      <w:rFonts w:ascii="仿宋" w:hAnsi="仿宋" w:eastAsia="仿宋"/>
                      <w:sz w:val="20"/>
                      <w:szCs w:val="20"/>
                    </w:rPr>
                  </w:pPr>
                </w:p>
              </w:tc>
              <w:tc>
                <w:tcPr>
                  <w:tcW w:w="3942" w:type="pct"/>
                  <w:vAlign w:val="center"/>
                </w:tcPr>
                <w:p w14:paraId="02361473">
                  <w:pPr>
                    <w:pStyle w:val="6"/>
                    <w:numPr>
                      <w:ilvl w:val="0"/>
                      <w:numId w:val="1"/>
                    </w:numPr>
                    <w:spacing w:line="360" w:lineRule="auto"/>
                    <w:ind w:left="0" w:firstLine="0" w:firstLineChars="0"/>
                    <w:rPr>
                      <w:rFonts w:ascii="仿宋" w:hAnsi="仿宋" w:eastAsia="仿宋" w:cs="宋体"/>
                      <w:sz w:val="20"/>
                      <w:szCs w:val="20"/>
                      <w:lang w:bidi="ar"/>
                    </w:rPr>
                  </w:pPr>
                  <w:r>
                    <w:rPr>
                      <w:rFonts w:ascii="仿宋_GB2312" w:hAnsi="仿宋_GB2312" w:eastAsia="仿宋_GB2312" w:cs="仿宋_GB2312"/>
                    </w:rPr>
                    <w:t>▲</w:t>
                  </w:r>
                  <w:r>
                    <w:rPr>
                      <w:rFonts w:hint="eastAsia" w:ascii="仿宋" w:hAnsi="仿宋" w:eastAsia="仿宋" w:cs="宋体"/>
                      <w:sz w:val="20"/>
                      <w:szCs w:val="20"/>
                    </w:rPr>
                    <w:t>系统自检：</w:t>
                  </w:r>
                  <w:r>
                    <w:rPr>
                      <w:rFonts w:hint="eastAsia" w:ascii="仿宋" w:hAnsi="仿宋" w:eastAsia="仿宋" w:cs="宋体"/>
                      <w:sz w:val="20"/>
                      <w:szCs w:val="20"/>
                      <w:lang w:bidi="ar"/>
                    </w:rPr>
                    <w:t>终端设备可定时或手动进行自检，自检内容包括但不限于系统状态、网络状态、服务连接状态；自检报告自动保存，支持远程查看；具备电源状态、系统状态、网络状态指示灯，可以根据灯的状态判断故障问题。需提供国家认可的第三方检测机构出具的检测报告复印件；</w:t>
                  </w:r>
                </w:p>
              </w:tc>
            </w:tr>
            <w:tr w14:paraId="5E0D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58821DC6">
                  <w:pPr>
                    <w:spacing w:line="360" w:lineRule="auto"/>
                    <w:jc w:val="center"/>
                    <w:rPr>
                      <w:rFonts w:ascii="仿宋" w:hAnsi="仿宋" w:eastAsia="仿宋" w:cs="宋体"/>
                      <w:bCs/>
                      <w:sz w:val="20"/>
                      <w:szCs w:val="20"/>
                    </w:rPr>
                  </w:pPr>
                </w:p>
              </w:tc>
              <w:tc>
                <w:tcPr>
                  <w:tcW w:w="607" w:type="pct"/>
                  <w:vMerge w:val="continue"/>
                  <w:vAlign w:val="center"/>
                </w:tcPr>
                <w:p w14:paraId="12BD2374">
                  <w:pPr>
                    <w:spacing w:line="360" w:lineRule="auto"/>
                    <w:jc w:val="center"/>
                    <w:rPr>
                      <w:rFonts w:ascii="仿宋" w:hAnsi="仿宋" w:eastAsia="仿宋"/>
                      <w:sz w:val="20"/>
                      <w:szCs w:val="20"/>
                    </w:rPr>
                  </w:pPr>
                </w:p>
              </w:tc>
              <w:tc>
                <w:tcPr>
                  <w:tcW w:w="3942" w:type="pct"/>
                  <w:vAlign w:val="center"/>
                </w:tcPr>
                <w:p w14:paraId="7D05C98A">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cs="宋体"/>
                      <w:sz w:val="20"/>
                      <w:szCs w:val="20"/>
                    </w:rPr>
                    <w:t>监测反馈：</w:t>
                  </w:r>
                  <w:r>
                    <w:rPr>
                      <w:rFonts w:hint="eastAsia" w:ascii="仿宋" w:hAnsi="仿宋" w:eastAsia="仿宋" w:cs="宋体"/>
                      <w:sz w:val="20"/>
                      <w:szCs w:val="20"/>
                      <w:lang w:bidi="ar"/>
                    </w:rPr>
                    <w:t>支持对所发布的预警信息进行音频采集，监测喇叭是否正常发出预警语音提示信息；支持对喇叭所采集的音频数据与平台准确的数据进行核对，判断喇叭是否正确发出预警语音提示信息；</w:t>
                  </w:r>
                </w:p>
              </w:tc>
            </w:tr>
            <w:tr w14:paraId="45724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5629B23E">
                  <w:pPr>
                    <w:spacing w:line="360" w:lineRule="auto"/>
                    <w:jc w:val="center"/>
                    <w:rPr>
                      <w:rFonts w:ascii="仿宋" w:hAnsi="仿宋" w:eastAsia="仿宋" w:cs="宋体"/>
                      <w:bCs/>
                      <w:sz w:val="20"/>
                      <w:szCs w:val="20"/>
                    </w:rPr>
                  </w:pPr>
                </w:p>
              </w:tc>
              <w:tc>
                <w:tcPr>
                  <w:tcW w:w="607" w:type="pct"/>
                  <w:vMerge w:val="continue"/>
                  <w:vAlign w:val="center"/>
                </w:tcPr>
                <w:p w14:paraId="18A7D974">
                  <w:pPr>
                    <w:spacing w:line="360" w:lineRule="auto"/>
                    <w:jc w:val="center"/>
                    <w:rPr>
                      <w:rFonts w:ascii="仿宋" w:hAnsi="仿宋" w:eastAsia="仿宋"/>
                      <w:sz w:val="20"/>
                      <w:szCs w:val="20"/>
                    </w:rPr>
                  </w:pPr>
                </w:p>
              </w:tc>
              <w:tc>
                <w:tcPr>
                  <w:tcW w:w="3942" w:type="pct"/>
                  <w:vAlign w:val="center"/>
                </w:tcPr>
                <w:p w14:paraId="7A4E0450">
                  <w:pPr>
                    <w:pStyle w:val="6"/>
                    <w:numPr>
                      <w:ilvl w:val="0"/>
                      <w:numId w:val="1"/>
                    </w:numPr>
                    <w:spacing w:line="360" w:lineRule="auto"/>
                    <w:ind w:left="0" w:firstLine="0" w:firstLineChars="0"/>
                    <w:rPr>
                      <w:rFonts w:ascii="仿宋" w:hAnsi="仿宋" w:eastAsia="仿宋"/>
                      <w:sz w:val="20"/>
                      <w:szCs w:val="20"/>
                    </w:rPr>
                  </w:pPr>
                  <w:r>
                    <w:rPr>
                      <w:rFonts w:ascii="仿宋_GB2312" w:hAnsi="仿宋_GB2312" w:eastAsia="仿宋_GB2312" w:cs="仿宋_GB2312"/>
                    </w:rPr>
                    <w:t>▲</w:t>
                  </w:r>
                  <w:r>
                    <w:rPr>
                      <w:rFonts w:hint="eastAsia" w:ascii="仿宋" w:hAnsi="仿宋" w:eastAsia="仿宋"/>
                      <w:sz w:val="20"/>
                      <w:szCs w:val="20"/>
                    </w:rPr>
                    <w:t>灯光警报：具备灯光报警功能，灯光报警有闪烁功能。静态光通≥1000LM或照度大于1000LUX；</w:t>
                  </w:r>
                  <w:r>
                    <w:rPr>
                      <w:rFonts w:hint="eastAsia" w:ascii="仿宋" w:hAnsi="仿宋" w:eastAsia="仿宋" w:cs="宋体"/>
                      <w:sz w:val="20"/>
                      <w:szCs w:val="20"/>
                      <w:lang w:bidi="ar"/>
                    </w:rPr>
                    <w:t>需提供国家认可的第三方检测机构出具的检测报告复印件；</w:t>
                  </w:r>
                </w:p>
              </w:tc>
            </w:tr>
            <w:tr w14:paraId="65222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4C7A961B">
                  <w:pPr>
                    <w:spacing w:line="360" w:lineRule="auto"/>
                    <w:jc w:val="center"/>
                    <w:rPr>
                      <w:rFonts w:ascii="仿宋" w:hAnsi="仿宋" w:eastAsia="仿宋" w:cs="宋体"/>
                      <w:bCs/>
                      <w:sz w:val="20"/>
                      <w:szCs w:val="20"/>
                    </w:rPr>
                  </w:pPr>
                </w:p>
              </w:tc>
              <w:tc>
                <w:tcPr>
                  <w:tcW w:w="607" w:type="pct"/>
                  <w:vMerge w:val="continue"/>
                  <w:vAlign w:val="center"/>
                </w:tcPr>
                <w:p w14:paraId="15DD6526">
                  <w:pPr>
                    <w:spacing w:line="360" w:lineRule="auto"/>
                    <w:jc w:val="center"/>
                    <w:rPr>
                      <w:rFonts w:ascii="仿宋" w:hAnsi="仿宋" w:eastAsia="仿宋"/>
                      <w:sz w:val="20"/>
                      <w:szCs w:val="20"/>
                    </w:rPr>
                  </w:pPr>
                </w:p>
              </w:tc>
              <w:tc>
                <w:tcPr>
                  <w:tcW w:w="3942" w:type="pct"/>
                  <w:vAlign w:val="center"/>
                </w:tcPr>
                <w:p w14:paraId="697E2663">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声音报警：可根据地震预警发布规则进行响应，音频文件和音量大小可配置；</w:t>
                  </w:r>
                </w:p>
              </w:tc>
            </w:tr>
            <w:tr w14:paraId="2052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697B4699">
                  <w:pPr>
                    <w:spacing w:line="360" w:lineRule="auto"/>
                    <w:jc w:val="center"/>
                    <w:rPr>
                      <w:rFonts w:ascii="仿宋" w:hAnsi="仿宋" w:eastAsia="仿宋" w:cs="宋体"/>
                      <w:bCs/>
                      <w:sz w:val="20"/>
                      <w:szCs w:val="20"/>
                    </w:rPr>
                  </w:pPr>
                </w:p>
              </w:tc>
              <w:tc>
                <w:tcPr>
                  <w:tcW w:w="607" w:type="pct"/>
                  <w:vMerge w:val="continue"/>
                  <w:vAlign w:val="center"/>
                </w:tcPr>
                <w:p w14:paraId="395057D0">
                  <w:pPr>
                    <w:spacing w:line="360" w:lineRule="auto"/>
                    <w:jc w:val="center"/>
                    <w:rPr>
                      <w:rFonts w:ascii="仿宋" w:hAnsi="仿宋" w:eastAsia="仿宋"/>
                      <w:sz w:val="20"/>
                      <w:szCs w:val="20"/>
                    </w:rPr>
                  </w:pPr>
                </w:p>
              </w:tc>
              <w:tc>
                <w:tcPr>
                  <w:tcW w:w="3942" w:type="pct"/>
                  <w:vAlign w:val="center"/>
                </w:tcPr>
                <w:p w14:paraId="5A45A68B">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信息安全：具备数字证书功能，支持地震预警信息验签机制；</w:t>
                  </w:r>
                </w:p>
              </w:tc>
            </w:tr>
            <w:tr w14:paraId="7BAB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1630863E">
                  <w:pPr>
                    <w:spacing w:line="360" w:lineRule="auto"/>
                    <w:jc w:val="center"/>
                    <w:rPr>
                      <w:rFonts w:ascii="仿宋" w:hAnsi="仿宋" w:eastAsia="仿宋" w:cs="宋体"/>
                      <w:bCs/>
                      <w:sz w:val="20"/>
                      <w:szCs w:val="20"/>
                    </w:rPr>
                  </w:pPr>
                </w:p>
              </w:tc>
              <w:tc>
                <w:tcPr>
                  <w:tcW w:w="607" w:type="pct"/>
                  <w:vMerge w:val="continue"/>
                  <w:vAlign w:val="center"/>
                </w:tcPr>
                <w:p w14:paraId="5E9AB00B">
                  <w:pPr>
                    <w:spacing w:line="360" w:lineRule="auto"/>
                    <w:jc w:val="center"/>
                    <w:rPr>
                      <w:rFonts w:ascii="仿宋" w:hAnsi="仿宋" w:eastAsia="仿宋"/>
                      <w:sz w:val="20"/>
                      <w:szCs w:val="20"/>
                    </w:rPr>
                  </w:pPr>
                </w:p>
              </w:tc>
              <w:tc>
                <w:tcPr>
                  <w:tcW w:w="3942" w:type="pct"/>
                  <w:vAlign w:val="center"/>
                </w:tcPr>
                <w:p w14:paraId="6F6086B0">
                  <w:pPr>
                    <w:pStyle w:val="6"/>
                    <w:numPr>
                      <w:ilvl w:val="0"/>
                      <w:numId w:val="1"/>
                    </w:numPr>
                    <w:spacing w:line="360" w:lineRule="auto"/>
                    <w:ind w:left="0" w:firstLine="0" w:firstLineChars="0"/>
                    <w:rPr>
                      <w:rFonts w:ascii="仿宋" w:hAnsi="仿宋" w:eastAsia="仿宋"/>
                      <w:sz w:val="20"/>
                      <w:szCs w:val="20"/>
                    </w:rPr>
                  </w:pPr>
                  <w:bookmarkStart w:id="2" w:name="_Hlk243313866"/>
                  <w:r>
                    <w:rPr>
                      <w:rFonts w:hint="eastAsia" w:ascii="仿宋" w:hAnsi="仿宋" w:eastAsia="仿宋" w:cs="宋体"/>
                      <w:sz w:val="20"/>
                      <w:szCs w:val="20"/>
                    </w:rPr>
                    <w:t>时间服务</w:t>
                  </w:r>
                  <w:bookmarkEnd w:id="2"/>
                  <w:r>
                    <w:rPr>
                      <w:rFonts w:hint="eastAsia" w:ascii="仿宋" w:hAnsi="仿宋" w:eastAsia="仿宋" w:cs="宋体"/>
                      <w:sz w:val="20"/>
                      <w:szCs w:val="20"/>
                    </w:rPr>
                    <w:t>：</w:t>
                  </w:r>
                  <w:r>
                    <w:rPr>
                      <w:rFonts w:hint="eastAsia" w:ascii="仿宋" w:hAnsi="仿宋" w:eastAsia="仿宋"/>
                      <w:sz w:val="20"/>
                      <w:szCs w:val="20"/>
                    </w:rPr>
                    <w:t>系统时钟守时钟差±2秒/年（内部时钟可以进行校准）；支持NTP授时，采用NTP授时，终端钟差优于1/10秒；</w:t>
                  </w:r>
                </w:p>
              </w:tc>
            </w:tr>
            <w:tr w14:paraId="1B4E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7DBF087E">
                  <w:pPr>
                    <w:spacing w:line="360" w:lineRule="auto"/>
                    <w:jc w:val="center"/>
                    <w:rPr>
                      <w:rFonts w:ascii="仿宋" w:hAnsi="仿宋" w:eastAsia="仿宋" w:cs="宋体"/>
                      <w:bCs/>
                      <w:sz w:val="20"/>
                      <w:szCs w:val="20"/>
                    </w:rPr>
                  </w:pPr>
                </w:p>
              </w:tc>
              <w:tc>
                <w:tcPr>
                  <w:tcW w:w="607" w:type="pct"/>
                  <w:vMerge w:val="continue"/>
                  <w:vAlign w:val="center"/>
                </w:tcPr>
                <w:p w14:paraId="24B5B7FF">
                  <w:pPr>
                    <w:widowControl/>
                    <w:spacing w:line="360" w:lineRule="auto"/>
                    <w:jc w:val="center"/>
                    <w:rPr>
                      <w:rFonts w:ascii="仿宋" w:hAnsi="仿宋" w:eastAsia="仿宋"/>
                      <w:sz w:val="20"/>
                      <w:szCs w:val="20"/>
                    </w:rPr>
                  </w:pPr>
                </w:p>
              </w:tc>
              <w:tc>
                <w:tcPr>
                  <w:tcW w:w="3942" w:type="pct"/>
                  <w:vAlign w:val="center"/>
                </w:tcPr>
                <w:p w14:paraId="6A606C9A">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cs="宋体"/>
                      <w:sz w:val="20"/>
                      <w:szCs w:val="20"/>
                    </w:rPr>
                    <w:t>断电（网）重连和记忆：</w:t>
                  </w:r>
                  <w:r>
                    <w:rPr>
                      <w:rFonts w:hint="eastAsia" w:ascii="仿宋" w:hAnsi="仿宋" w:eastAsia="仿宋"/>
                      <w:sz w:val="20"/>
                      <w:szCs w:val="20"/>
                    </w:rPr>
                    <w:t>具备断电（网）主动重连功能，且能保持设备已有配置信息；</w:t>
                  </w:r>
                </w:p>
              </w:tc>
            </w:tr>
            <w:tr w14:paraId="58AB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Merge w:val="continue"/>
                  <w:vAlign w:val="center"/>
                </w:tcPr>
                <w:p w14:paraId="35C43172">
                  <w:pPr>
                    <w:spacing w:line="360" w:lineRule="auto"/>
                    <w:jc w:val="center"/>
                    <w:rPr>
                      <w:rFonts w:ascii="仿宋" w:hAnsi="仿宋" w:eastAsia="仿宋" w:cs="宋体"/>
                      <w:bCs/>
                      <w:sz w:val="20"/>
                      <w:szCs w:val="20"/>
                    </w:rPr>
                  </w:pPr>
                </w:p>
              </w:tc>
              <w:tc>
                <w:tcPr>
                  <w:tcW w:w="607" w:type="pct"/>
                  <w:vMerge w:val="continue"/>
                  <w:vAlign w:val="center"/>
                </w:tcPr>
                <w:p w14:paraId="42A9A746">
                  <w:pPr>
                    <w:spacing w:line="360" w:lineRule="auto"/>
                    <w:jc w:val="center"/>
                    <w:rPr>
                      <w:rFonts w:ascii="仿宋" w:hAnsi="仿宋" w:eastAsia="仿宋"/>
                      <w:sz w:val="20"/>
                      <w:szCs w:val="20"/>
                    </w:rPr>
                  </w:pPr>
                </w:p>
              </w:tc>
              <w:tc>
                <w:tcPr>
                  <w:tcW w:w="3942" w:type="pct"/>
                  <w:vAlign w:val="center"/>
                </w:tcPr>
                <w:p w14:paraId="0182FF80">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cs="宋体"/>
                      <w:sz w:val="20"/>
                      <w:szCs w:val="20"/>
                    </w:rPr>
                    <w:t>扩展功能：</w:t>
                  </w:r>
                  <w:r>
                    <w:rPr>
                      <w:rFonts w:hint="eastAsia" w:ascii="仿宋" w:hAnsi="仿宋" w:eastAsia="仿宋"/>
                      <w:sz w:val="20"/>
                      <w:szCs w:val="20"/>
                    </w:rPr>
                    <w:t>体现业主单位的名称及公众号二维码；</w:t>
                  </w:r>
                </w:p>
              </w:tc>
            </w:tr>
            <w:tr w14:paraId="5ADC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 w:type="pct"/>
                  <w:vAlign w:val="center"/>
                </w:tcPr>
                <w:p w14:paraId="5859A2F2">
                  <w:pPr>
                    <w:spacing w:line="360" w:lineRule="auto"/>
                    <w:jc w:val="center"/>
                    <w:rPr>
                      <w:rFonts w:ascii="仿宋" w:hAnsi="仿宋" w:eastAsia="仿宋" w:cs="宋体"/>
                      <w:bCs/>
                      <w:sz w:val="20"/>
                      <w:szCs w:val="20"/>
                    </w:rPr>
                  </w:pPr>
                  <w:r>
                    <w:rPr>
                      <w:rFonts w:ascii="仿宋" w:hAnsi="仿宋" w:eastAsia="仿宋" w:cs="宋体"/>
                      <w:bCs/>
                      <w:sz w:val="20"/>
                      <w:szCs w:val="20"/>
                    </w:rPr>
                    <w:t>2</w:t>
                  </w:r>
                </w:p>
              </w:tc>
              <w:tc>
                <w:tcPr>
                  <w:tcW w:w="607" w:type="pct"/>
                  <w:vAlign w:val="center"/>
                </w:tcPr>
                <w:p w14:paraId="01CD0791">
                  <w:pPr>
                    <w:spacing w:line="360" w:lineRule="auto"/>
                    <w:jc w:val="center"/>
                    <w:rPr>
                      <w:rFonts w:ascii="仿宋" w:hAnsi="仿宋" w:eastAsia="仿宋"/>
                      <w:sz w:val="20"/>
                      <w:szCs w:val="20"/>
                    </w:rPr>
                  </w:pPr>
                  <w:r>
                    <w:rPr>
                      <w:rFonts w:hint="eastAsia" w:ascii="仿宋" w:hAnsi="仿宋" w:eastAsia="仿宋" w:cs="宋体"/>
                      <w:sz w:val="20"/>
                      <w:szCs w:val="20"/>
                    </w:rPr>
                    <w:t>地震预警终端管理平台</w:t>
                  </w:r>
                </w:p>
              </w:tc>
              <w:tc>
                <w:tcPr>
                  <w:tcW w:w="3942" w:type="pct"/>
                  <w:vAlign w:val="center"/>
                </w:tcPr>
                <w:p w14:paraId="31A7FD80">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项目安装的终端需配合开发相应的管理平台，实现对终端运行状态和分布情况进行统计、展示；</w:t>
                  </w:r>
                </w:p>
                <w:p w14:paraId="14B4D758">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平台需适配兼容国产化运行环境，如：国产化服务器、操作系统、中间件、数据库等；</w:t>
                  </w:r>
                </w:p>
                <w:p w14:paraId="78B60C27">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平台保留同业主单位现有管理平台和终端设备进行适配的接口，必要时可以完成并行运行；</w:t>
                  </w:r>
                </w:p>
                <w:p w14:paraId="7AFD356A">
                  <w:pPr>
                    <w:pStyle w:val="6"/>
                    <w:numPr>
                      <w:ilvl w:val="0"/>
                      <w:numId w:val="1"/>
                    </w:numPr>
                    <w:spacing w:line="360" w:lineRule="auto"/>
                    <w:ind w:left="0" w:firstLine="0" w:firstLineChars="0"/>
                    <w:rPr>
                      <w:rFonts w:ascii="仿宋" w:hAnsi="仿宋" w:eastAsia="仿宋"/>
                      <w:sz w:val="20"/>
                      <w:szCs w:val="20"/>
                    </w:rPr>
                  </w:pPr>
                  <w:r>
                    <w:rPr>
                      <w:rFonts w:hint="eastAsia" w:ascii="仿宋" w:hAnsi="仿宋" w:eastAsia="仿宋"/>
                      <w:sz w:val="20"/>
                      <w:szCs w:val="20"/>
                    </w:rPr>
                    <w:t>用户权限管理</w:t>
                  </w:r>
                </w:p>
                <w:p w14:paraId="5EF73072">
                  <w:pPr>
                    <w:pStyle w:val="6"/>
                    <w:spacing w:line="360" w:lineRule="auto"/>
                    <w:ind w:firstLine="0" w:firstLineChars="0"/>
                    <w:rPr>
                      <w:rFonts w:ascii="仿宋" w:hAnsi="仿宋" w:eastAsia="仿宋"/>
                      <w:sz w:val="20"/>
                      <w:szCs w:val="20"/>
                    </w:rPr>
                  </w:pPr>
                  <w:r>
                    <w:rPr>
                      <w:rFonts w:hint="eastAsia" w:ascii="仿宋" w:hAnsi="仿宋" w:eastAsia="仿宋"/>
                      <w:sz w:val="20"/>
                      <w:szCs w:val="20"/>
                    </w:rPr>
                    <w:t>（1）市县分级：支持按照行政区划分配市级、区县级平台管理用户，支持对特定用户的特殊权限设定。数据权限按数据性质与敏感程度划分范围，为不同角色或用户设定相应访问权限。</w:t>
                  </w:r>
                </w:p>
                <w:p w14:paraId="4C0A78E1">
                  <w:pPr>
                    <w:pStyle w:val="6"/>
                    <w:spacing w:line="360" w:lineRule="auto"/>
                    <w:ind w:firstLine="0" w:firstLineChars="0"/>
                    <w:rPr>
                      <w:rFonts w:ascii="仿宋" w:hAnsi="仿宋" w:eastAsia="仿宋"/>
                      <w:sz w:val="20"/>
                      <w:szCs w:val="20"/>
                    </w:rPr>
                  </w:pPr>
                  <w:r>
                    <w:rPr>
                      <w:rFonts w:hint="eastAsia" w:ascii="仿宋" w:hAnsi="仿宋" w:eastAsia="仿宋"/>
                      <w:sz w:val="20"/>
                      <w:szCs w:val="20"/>
                    </w:rPr>
                    <w:t>（2）角色管理：系统预设多种角色，如系统管理员、普通用户等，以满足不同职责需求。管理员可按需创建新角色，明确其名称与描述，并关联相应权限模板。</w:t>
                  </w:r>
                </w:p>
              </w:tc>
            </w:tr>
          </w:tbl>
          <w:p w14:paraId="13BA19C3">
            <w:pPr>
              <w:spacing w:line="360" w:lineRule="auto"/>
              <w:rPr>
                <w:rFonts w:ascii="仿宋" w:hAnsi="仿宋" w:eastAsia="仿宋"/>
                <w:sz w:val="20"/>
                <w:szCs w:val="20"/>
              </w:rPr>
            </w:pPr>
          </w:p>
        </w:tc>
      </w:tr>
      <w:tr w14:paraId="1304B0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5" w:type="pct"/>
          </w:tcPr>
          <w:p w14:paraId="15D5D725">
            <w:pPr>
              <w:pStyle w:val="5"/>
              <w:rPr>
                <w:rFonts w:hint="default" w:ascii="仿宋" w:hAnsi="仿宋" w:eastAsia="仿宋"/>
              </w:rPr>
            </w:pPr>
            <w:r>
              <w:rPr>
                <w:rFonts w:ascii="仿宋" w:hAnsi="仿宋" w:eastAsia="仿宋" w:cs="仿宋_GB2312"/>
              </w:rPr>
              <w:t>3</w:t>
            </w:r>
          </w:p>
        </w:tc>
        <w:tc>
          <w:tcPr>
            <w:tcW w:w="452" w:type="pct"/>
          </w:tcPr>
          <w:p w14:paraId="6A9E592D">
            <w:pPr>
              <w:rPr>
                <w:rFonts w:ascii="仿宋" w:hAnsi="仿宋" w:eastAsia="仿宋"/>
                <w:sz w:val="20"/>
                <w:szCs w:val="20"/>
              </w:rPr>
            </w:pPr>
          </w:p>
        </w:tc>
        <w:tc>
          <w:tcPr>
            <w:tcW w:w="4272" w:type="pct"/>
          </w:tcPr>
          <w:p w14:paraId="536891DE">
            <w:pPr>
              <w:spacing w:line="360" w:lineRule="auto"/>
              <w:rPr>
                <w:rFonts w:ascii="仿宋" w:hAnsi="仿宋" w:eastAsia="仿宋"/>
                <w:sz w:val="20"/>
                <w:szCs w:val="20"/>
              </w:rPr>
            </w:pPr>
            <w:r>
              <w:rPr>
                <w:rFonts w:hint="eastAsia" w:ascii="仿宋" w:hAnsi="仿宋" w:eastAsia="仿宋"/>
                <w:sz w:val="20"/>
                <w:szCs w:val="20"/>
              </w:rPr>
              <w:t>三、商务需求：</w:t>
            </w:r>
          </w:p>
          <w:p w14:paraId="74470218">
            <w:pPr>
              <w:pStyle w:val="5"/>
              <w:spacing w:line="360" w:lineRule="auto"/>
              <w:rPr>
                <w:rFonts w:hint="default" w:ascii="仿宋" w:hAnsi="仿宋" w:eastAsia="仿宋" w:cs="宋体"/>
              </w:rPr>
            </w:pPr>
            <w:r>
              <w:rPr>
                <w:rFonts w:ascii="仿宋" w:hAnsi="仿宋" w:eastAsia="仿宋" w:cs="宋体"/>
              </w:rPr>
              <w:t>1、</w:t>
            </w:r>
            <w:r>
              <w:rPr>
                <w:rFonts w:ascii="仿宋" w:hAnsi="仿宋" w:eastAsia="仿宋" w:cs="宋体"/>
                <w:lang w:eastAsia="zh-CN"/>
              </w:rPr>
              <w:t>交货期</w:t>
            </w:r>
            <w:r>
              <w:rPr>
                <w:rFonts w:ascii="仿宋" w:hAnsi="仿宋" w:eastAsia="仿宋" w:cs="宋体"/>
              </w:rPr>
              <w:t>：</w:t>
            </w:r>
            <w:r>
              <w:rPr>
                <w:rFonts w:ascii="仿宋_GB2312" w:hAnsi="仿宋_GB2312" w:eastAsia="仿宋_GB2312" w:cs="仿宋_GB2312"/>
              </w:rPr>
              <w:t>自合同签订之日起</w:t>
            </w:r>
            <w:r>
              <w:rPr>
                <w:rFonts w:ascii="仿宋_GB2312" w:hAnsi="仿宋_GB2312" w:eastAsia="仿宋_GB2312" w:cs="仿宋_GB2312"/>
                <w:lang w:eastAsia="zh-CN"/>
              </w:rPr>
              <w:t>至2028年</w:t>
            </w:r>
            <w:r>
              <w:rPr>
                <w:rFonts w:ascii="仿宋" w:hAnsi="仿宋" w:eastAsia="仿宋" w:cs="仿宋"/>
                <w:lang w:eastAsia="zh-CN"/>
              </w:rPr>
              <w:t>逐年完成年度项目</w:t>
            </w:r>
            <w:r>
              <w:rPr>
                <w:rFonts w:ascii="仿宋_GB2312" w:hAnsi="仿宋_GB2312" w:eastAsia="仿宋_GB2312" w:cs="仿宋_GB2312"/>
              </w:rPr>
              <w:t>交付、安装及调试</w:t>
            </w:r>
            <w:r>
              <w:rPr>
                <w:rFonts w:ascii="仿宋_GB2312" w:hAnsi="仿宋_GB2312" w:eastAsia="仿宋_GB2312" w:cs="仿宋_GB2312"/>
                <w:lang w:eastAsia="zh-CN"/>
              </w:rPr>
              <w:t>工作，每年度具体交付数量按采购人具体进度要求单独在合同中约定</w:t>
            </w:r>
            <w:r>
              <w:rPr>
                <w:rFonts w:ascii="仿宋_GB2312" w:hAnsi="仿宋_GB2312" w:eastAsia="仿宋_GB2312" w:cs="仿宋_GB2312"/>
              </w:rPr>
              <w:t>。</w:t>
            </w:r>
          </w:p>
          <w:p w14:paraId="358C08C7">
            <w:pPr>
              <w:spacing w:line="360" w:lineRule="auto"/>
              <w:rPr>
                <w:rFonts w:ascii="仿宋" w:hAnsi="仿宋" w:eastAsia="仿宋" w:cs="宋体"/>
                <w:kern w:val="0"/>
                <w:sz w:val="20"/>
                <w:szCs w:val="20"/>
              </w:rPr>
            </w:pPr>
            <w:r>
              <w:rPr>
                <w:rFonts w:hint="eastAsia" w:ascii="仿宋" w:hAnsi="仿宋" w:eastAsia="仿宋" w:cs="宋体"/>
                <w:kern w:val="0"/>
                <w:sz w:val="20"/>
                <w:szCs w:val="20"/>
              </w:rPr>
              <w:t>2、按照采购人的要求完成设备在指定地点的安装、部署和集成等；</w:t>
            </w:r>
          </w:p>
          <w:p w14:paraId="5839873E">
            <w:pPr>
              <w:spacing w:line="360" w:lineRule="auto"/>
              <w:rPr>
                <w:rFonts w:ascii="仿宋" w:hAnsi="仿宋" w:eastAsia="仿宋" w:cs="宋体"/>
                <w:kern w:val="0"/>
                <w:sz w:val="20"/>
                <w:szCs w:val="20"/>
              </w:rPr>
            </w:pPr>
            <w:r>
              <w:rPr>
                <w:rFonts w:ascii="仿宋" w:hAnsi="仿宋" w:eastAsia="仿宋" w:cs="宋体"/>
                <w:kern w:val="0"/>
                <w:sz w:val="20"/>
                <w:szCs w:val="20"/>
              </w:rPr>
              <w:t>3</w:t>
            </w:r>
            <w:r>
              <w:rPr>
                <w:rFonts w:hint="eastAsia" w:ascii="仿宋" w:hAnsi="仿宋" w:eastAsia="仿宋" w:cs="宋体"/>
                <w:kern w:val="0"/>
                <w:sz w:val="20"/>
                <w:szCs w:val="20"/>
              </w:rPr>
              <w:t>、保障地震预警广播终端的安全性，实现终端注册服务、入网许可，进行注册入网，完成与紧急信息服务系统和防篡改系统的集成，并进行信息防篡改安全防护；</w:t>
            </w:r>
          </w:p>
          <w:p w14:paraId="32064445">
            <w:pPr>
              <w:spacing w:line="360" w:lineRule="auto"/>
              <w:rPr>
                <w:rFonts w:ascii="仿宋" w:hAnsi="仿宋" w:eastAsia="仿宋" w:cs="宋体"/>
                <w:kern w:val="0"/>
                <w:sz w:val="20"/>
                <w:szCs w:val="20"/>
              </w:rPr>
            </w:pPr>
            <w:r>
              <w:rPr>
                <w:rFonts w:ascii="仿宋" w:hAnsi="仿宋" w:eastAsia="仿宋" w:cs="宋体"/>
                <w:kern w:val="0"/>
                <w:sz w:val="20"/>
                <w:szCs w:val="20"/>
              </w:rPr>
              <w:t>4</w:t>
            </w:r>
            <w:r>
              <w:rPr>
                <w:rFonts w:hint="eastAsia" w:ascii="仿宋" w:hAnsi="仿宋" w:eastAsia="仿宋" w:cs="宋体"/>
                <w:kern w:val="0"/>
                <w:sz w:val="20"/>
                <w:szCs w:val="20"/>
              </w:rPr>
              <w:t>、所有终端自设备部署完成，完成软硬件初验后，提供不少于3年质保服务。包括：</w:t>
            </w:r>
          </w:p>
          <w:p w14:paraId="3575D060">
            <w:pPr>
              <w:spacing w:line="360" w:lineRule="auto"/>
              <w:rPr>
                <w:rFonts w:ascii="仿宋" w:hAnsi="仿宋" w:eastAsia="仿宋" w:cs="宋体"/>
                <w:kern w:val="0"/>
                <w:sz w:val="20"/>
                <w:szCs w:val="20"/>
              </w:rPr>
            </w:pPr>
            <w:r>
              <w:rPr>
                <w:rFonts w:hint="eastAsia" w:ascii="仿宋" w:hAnsi="仿宋" w:eastAsia="仿宋" w:cs="宋体"/>
                <w:kern w:val="0"/>
                <w:sz w:val="20"/>
                <w:szCs w:val="20"/>
              </w:rPr>
              <w:t>（1）3年免费软硬件运维服务（包括但不限于设备通信费、设备维修更换、拆移机费用等）和技术支持，提供7*24小时技术支持服务，接到故障报修后2小时内提供远程技术支持服务，如有需要4小时内提供上门服务，24小时内排除故障。</w:t>
            </w:r>
          </w:p>
          <w:p w14:paraId="03C7CD64">
            <w:pPr>
              <w:spacing w:line="360" w:lineRule="auto"/>
              <w:rPr>
                <w:rFonts w:ascii="仿宋" w:hAnsi="仿宋" w:eastAsia="仿宋" w:cs="宋体"/>
                <w:kern w:val="0"/>
                <w:sz w:val="20"/>
                <w:szCs w:val="20"/>
              </w:rPr>
            </w:pPr>
            <w:r>
              <w:rPr>
                <w:rFonts w:hint="eastAsia" w:ascii="仿宋" w:hAnsi="仿宋" w:eastAsia="仿宋" w:cs="宋体"/>
                <w:kern w:val="0"/>
                <w:sz w:val="20"/>
                <w:szCs w:val="20"/>
              </w:rPr>
              <w:t>（2）若12小时内无法排除故障，立即提供相同型号或功能的设备供采购人使用，24小时内排除故障。</w:t>
            </w:r>
          </w:p>
          <w:p w14:paraId="231F38FE">
            <w:pPr>
              <w:spacing w:line="360" w:lineRule="auto"/>
              <w:rPr>
                <w:rFonts w:ascii="仿宋" w:hAnsi="仿宋" w:eastAsia="仿宋" w:cs="宋体"/>
                <w:kern w:val="0"/>
                <w:sz w:val="20"/>
                <w:szCs w:val="20"/>
              </w:rPr>
            </w:pPr>
            <w:r>
              <w:rPr>
                <w:rFonts w:hint="eastAsia" w:ascii="仿宋" w:hAnsi="仿宋" w:eastAsia="仿宋" w:cs="宋体"/>
                <w:kern w:val="0"/>
                <w:sz w:val="20"/>
                <w:szCs w:val="20"/>
              </w:rPr>
              <w:t>（3）质保期内提供每年至少1次设备巡检，保持设备在线率≧96%。</w:t>
            </w:r>
          </w:p>
          <w:p w14:paraId="0BA3E937">
            <w:pPr>
              <w:spacing w:line="360" w:lineRule="auto"/>
              <w:rPr>
                <w:rFonts w:ascii="仿宋" w:hAnsi="仿宋" w:eastAsia="仿宋" w:cs="宋体"/>
                <w:kern w:val="0"/>
                <w:sz w:val="20"/>
                <w:szCs w:val="20"/>
              </w:rPr>
            </w:pPr>
            <w:r>
              <w:rPr>
                <w:rFonts w:hint="eastAsia" w:ascii="仿宋" w:hAnsi="仿宋" w:eastAsia="仿宋" w:cs="宋体"/>
                <w:kern w:val="0"/>
                <w:sz w:val="20"/>
                <w:szCs w:val="20"/>
              </w:rPr>
              <w:t>（4）质保到期后产品可终身使用，所有功能不受限制。</w:t>
            </w:r>
          </w:p>
          <w:p w14:paraId="6D8704FF">
            <w:pPr>
              <w:spacing w:line="360" w:lineRule="auto"/>
              <w:rPr>
                <w:rFonts w:ascii="仿宋" w:hAnsi="仿宋" w:eastAsia="仿宋" w:cs="宋体"/>
                <w:kern w:val="0"/>
                <w:sz w:val="20"/>
                <w:szCs w:val="20"/>
              </w:rPr>
            </w:pPr>
            <w:r>
              <w:rPr>
                <w:rFonts w:hint="eastAsia" w:ascii="仿宋" w:hAnsi="仿宋" w:eastAsia="仿宋" w:cs="宋体"/>
                <w:kern w:val="0"/>
                <w:sz w:val="20"/>
                <w:szCs w:val="20"/>
              </w:rPr>
              <w:t>（5）质保期内，指定一名驻场人员作为统一提供服务的接口人。</w:t>
            </w:r>
          </w:p>
          <w:p w14:paraId="6FD7A37E">
            <w:pPr>
              <w:spacing w:line="360" w:lineRule="auto"/>
              <w:rPr>
                <w:rFonts w:ascii="仿宋" w:hAnsi="仿宋" w:eastAsia="仿宋" w:cs="宋体"/>
                <w:kern w:val="0"/>
                <w:sz w:val="20"/>
                <w:szCs w:val="20"/>
              </w:rPr>
            </w:pPr>
            <w:r>
              <w:rPr>
                <w:rFonts w:hint="eastAsia" w:ascii="仿宋" w:hAnsi="仿宋" w:eastAsia="仿宋" w:cs="宋体"/>
                <w:kern w:val="0"/>
                <w:sz w:val="20"/>
                <w:szCs w:val="20"/>
              </w:rPr>
              <w:t>（6）质保期内，终端运维要有巡检日志、故障维修工单和运维台账，定期形成季度、年度运维报告。</w:t>
            </w:r>
          </w:p>
          <w:p w14:paraId="3EA81887">
            <w:pPr>
              <w:spacing w:line="360" w:lineRule="auto"/>
              <w:rPr>
                <w:rFonts w:ascii="仿宋" w:hAnsi="仿宋" w:eastAsia="仿宋" w:cs="宋体"/>
                <w:kern w:val="0"/>
                <w:sz w:val="20"/>
                <w:szCs w:val="20"/>
              </w:rPr>
            </w:pPr>
            <w:r>
              <w:rPr>
                <w:rFonts w:hint="eastAsia" w:ascii="仿宋" w:hAnsi="仿宋" w:eastAsia="仿宋" w:cs="宋体"/>
                <w:kern w:val="0"/>
                <w:sz w:val="20"/>
                <w:szCs w:val="20"/>
              </w:rPr>
              <w:t>（7）在项目质保期内，如国家安全法规政策有重大调整：如紧急地震信息服务平台重大升级，网络安全、平台架构重大调整，造成项目所采用技术规范与国家政策法规要求的有偏差，投标人将无偿为采购人提供技术升级解决方案、软件升级以及人员技术服务等。</w:t>
            </w:r>
          </w:p>
          <w:p w14:paraId="51C1C158">
            <w:pPr>
              <w:spacing w:line="360" w:lineRule="auto"/>
              <w:rPr>
                <w:rFonts w:ascii="仿宋" w:hAnsi="仿宋" w:eastAsia="仿宋" w:cs="宋体"/>
                <w:kern w:val="0"/>
                <w:sz w:val="20"/>
                <w:szCs w:val="20"/>
              </w:rPr>
            </w:pPr>
            <w:r>
              <w:rPr>
                <w:rFonts w:hint="eastAsia" w:ascii="仿宋" w:hAnsi="仿宋" w:eastAsia="仿宋" w:cs="宋体"/>
                <w:kern w:val="0"/>
                <w:sz w:val="20"/>
                <w:szCs w:val="20"/>
              </w:rPr>
              <w:t>（8）质保期满时不得擅自随意停止运维，应提前与甲方进行沟通协商，运维期以协商结果为准，结束后应做好交接工作。</w:t>
            </w:r>
          </w:p>
          <w:p w14:paraId="1334CC24">
            <w:pPr>
              <w:spacing w:line="360" w:lineRule="auto"/>
              <w:rPr>
                <w:rFonts w:ascii="仿宋" w:hAnsi="仿宋" w:eastAsia="仿宋" w:cs="宋体"/>
                <w:kern w:val="0"/>
                <w:sz w:val="20"/>
                <w:szCs w:val="20"/>
              </w:rPr>
            </w:pPr>
            <w:r>
              <w:rPr>
                <w:rFonts w:ascii="仿宋" w:hAnsi="仿宋" w:eastAsia="仿宋" w:cs="宋体"/>
                <w:kern w:val="0"/>
                <w:sz w:val="20"/>
                <w:szCs w:val="20"/>
              </w:rPr>
              <w:t>5</w:t>
            </w:r>
            <w:r>
              <w:rPr>
                <w:rFonts w:hint="eastAsia" w:ascii="仿宋" w:hAnsi="仿宋" w:eastAsia="仿宋" w:cs="宋体"/>
                <w:kern w:val="0"/>
                <w:sz w:val="20"/>
                <w:szCs w:val="20"/>
              </w:rPr>
              <w:t>、投标报价：投标报价包含设备、软件、供货、安装、调试、验收、质保、税等项目要求的所有费用。</w:t>
            </w:r>
          </w:p>
          <w:p w14:paraId="169678C1">
            <w:pPr>
              <w:pStyle w:val="5"/>
              <w:rPr>
                <w:rFonts w:hint="default" w:ascii="仿宋" w:hAnsi="仿宋" w:eastAsia="仿宋" w:cs="宋体"/>
                <w:lang w:eastAsia="zh-CN"/>
              </w:rPr>
            </w:pPr>
            <w:r>
              <w:rPr>
                <w:rFonts w:ascii="仿宋" w:hAnsi="仿宋" w:eastAsia="仿宋" w:cs="宋体"/>
                <w:lang w:eastAsia="zh-CN"/>
              </w:rPr>
              <w:t>6、履约保证金：</w:t>
            </w:r>
          </w:p>
          <w:p w14:paraId="7E9AB771">
            <w:pPr>
              <w:pStyle w:val="5"/>
              <w:rPr>
                <w:rFonts w:hint="default" w:ascii="仿宋_GB2312" w:hAnsi="仿宋_GB2312" w:eastAsia="仿宋_GB2312" w:cs="仿宋_GB2312"/>
              </w:rPr>
            </w:pPr>
            <w:r>
              <w:rPr>
                <w:rFonts w:ascii="仿宋_GB2312" w:hAnsi="仿宋_GB2312" w:eastAsia="仿宋_GB2312" w:cs="仿宋_GB2312"/>
              </w:rPr>
              <w:t>（1）项目履约保证金为合同金额的</w:t>
            </w:r>
            <w:r>
              <w:rPr>
                <w:rFonts w:ascii="仿宋_GB2312" w:hAnsi="仿宋_GB2312" w:eastAsia="仿宋_GB2312" w:cs="仿宋_GB2312"/>
                <w:lang w:eastAsia="zh-CN"/>
              </w:rPr>
              <w:t>5</w:t>
            </w:r>
            <w:r>
              <w:rPr>
                <w:rFonts w:ascii="仿宋_GB2312" w:hAnsi="仿宋_GB2312" w:eastAsia="仿宋_GB2312" w:cs="仿宋_GB2312"/>
              </w:rPr>
              <w:t>%。</w:t>
            </w:r>
          </w:p>
          <w:p w14:paraId="0B679B9A">
            <w:pPr>
              <w:pStyle w:val="5"/>
              <w:rPr>
                <w:rFonts w:hint="default" w:ascii="仿宋_GB2312" w:hAnsi="仿宋_GB2312" w:eastAsia="仿宋_GB2312" w:cs="仿宋_GB2312"/>
              </w:rPr>
            </w:pPr>
            <w:r>
              <w:rPr>
                <w:rFonts w:ascii="仿宋_GB2312" w:hAnsi="仿宋_GB2312" w:eastAsia="仿宋_GB2312" w:cs="仿宋_GB2312"/>
              </w:rPr>
              <w:t>（</w:t>
            </w:r>
            <w:r>
              <w:rPr>
                <w:rFonts w:hint="default" w:ascii="仿宋_GB2312" w:hAnsi="仿宋_GB2312" w:eastAsia="仿宋_GB2312" w:cs="仿宋_GB2312"/>
              </w:rPr>
              <w:t>2</w:t>
            </w:r>
            <w:r>
              <w:rPr>
                <w:rFonts w:ascii="仿宋_GB2312" w:hAnsi="仿宋_GB2312" w:eastAsia="仿宋_GB2312" w:cs="仿宋_GB2312"/>
              </w:rPr>
              <w:t>）履约保证金缴纳时间：中标后七日内需要缴纳履约保证金。未在规定时间内缴纳履约保证金视为拒签合同，自动放弃中标资格。</w:t>
            </w:r>
          </w:p>
          <w:p w14:paraId="01014EAF">
            <w:pPr>
              <w:pStyle w:val="5"/>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3</w:t>
            </w:r>
            <w:r>
              <w:rPr>
                <w:rFonts w:ascii="仿宋_GB2312" w:hAnsi="仿宋_GB2312" w:eastAsia="仿宋_GB2312" w:cs="仿宋_GB2312"/>
              </w:rPr>
              <w:t>）履约保证金缴纳形式：采用银行对公转账、电汇或者金融机构、担保机构出具的保函等非现金的形式对公形式缴纳。</w:t>
            </w:r>
          </w:p>
          <w:p w14:paraId="2D1170C5">
            <w:pPr>
              <w:spacing w:line="360" w:lineRule="auto"/>
              <w:rPr>
                <w:rFonts w:ascii="仿宋" w:hAnsi="仿宋" w:eastAsia="仿宋" w:cs="宋体"/>
                <w:kern w:val="0"/>
                <w:sz w:val="20"/>
                <w:szCs w:val="20"/>
              </w:rPr>
            </w:pPr>
            <w:r>
              <w:rPr>
                <w:rFonts w:ascii="仿宋_GB2312" w:hAnsi="仿宋_GB2312" w:eastAsia="仿宋_GB2312" w:cs="仿宋_GB2312"/>
              </w:rPr>
              <w:t>（4）履约保证金的退还：</w:t>
            </w:r>
            <w:r>
              <w:rPr>
                <w:rFonts w:hint="eastAsia" w:ascii="仿宋_GB2312" w:hAnsi="仿宋_GB2312" w:eastAsia="仿宋_GB2312" w:cs="仿宋_GB2312"/>
              </w:rPr>
              <w:t>项目履约结束</w:t>
            </w:r>
            <w:r>
              <w:rPr>
                <w:rFonts w:ascii="仿宋_GB2312" w:hAnsi="仿宋_GB2312" w:eastAsia="仿宋_GB2312" w:cs="仿宋_GB2312"/>
              </w:rPr>
              <w:t>后</w:t>
            </w:r>
            <w:r>
              <w:rPr>
                <w:rFonts w:hint="eastAsia" w:ascii="仿宋_GB2312" w:hAnsi="仿宋_GB2312" w:eastAsia="仿宋_GB2312" w:cs="仿宋_GB2312"/>
              </w:rPr>
              <w:t>及时</w:t>
            </w:r>
            <w:r>
              <w:rPr>
                <w:rFonts w:ascii="仿宋_GB2312" w:hAnsi="仿宋_GB2312" w:eastAsia="仿宋_GB2312" w:cs="仿宋_GB2312"/>
              </w:rPr>
              <w:t>退还</w:t>
            </w:r>
            <w:r>
              <w:rPr>
                <w:rFonts w:hint="eastAsia" w:ascii="仿宋_GB2312" w:hAnsi="仿宋_GB2312" w:eastAsia="仿宋_GB2312" w:cs="仿宋_GB2312"/>
              </w:rPr>
              <w:t>履约保证金</w:t>
            </w:r>
            <w:r>
              <w:rPr>
                <w:rFonts w:ascii="仿宋_GB2312" w:hAnsi="仿宋_GB2312" w:eastAsia="仿宋_GB2312" w:cs="仿宋_GB2312"/>
              </w:rPr>
              <w:t>。</w:t>
            </w:r>
          </w:p>
          <w:p w14:paraId="74B7ADB2">
            <w:pPr>
              <w:pStyle w:val="5"/>
              <w:rPr>
                <w:rFonts w:hint="default" w:ascii="仿宋_GB2312" w:hAnsi="仿宋_GB2312" w:eastAsia="仿宋_GB2312" w:cs="仿宋_GB2312"/>
                <w:lang w:eastAsia="zh-CN"/>
              </w:rPr>
            </w:pPr>
            <w:r>
              <w:rPr>
                <w:rFonts w:ascii="仿宋" w:hAnsi="仿宋" w:eastAsia="仿宋" w:cs="宋体"/>
                <w:lang w:eastAsia="zh-CN"/>
              </w:rPr>
              <w:t>7</w:t>
            </w:r>
            <w:r>
              <w:rPr>
                <w:rFonts w:ascii="仿宋" w:hAnsi="仿宋" w:eastAsia="仿宋" w:cs="宋体"/>
              </w:rPr>
              <w:t>、款项支付：</w:t>
            </w:r>
            <w:r>
              <w:rPr>
                <w:rFonts w:ascii="仿宋_GB2312" w:hAnsi="仿宋_GB2312" w:eastAsia="仿宋_GB2312" w:cs="仿宋_GB2312"/>
                <w:lang w:eastAsia="zh-CN"/>
              </w:rPr>
              <w:t>合同签订后，待2</w:t>
            </w:r>
            <w:r>
              <w:rPr>
                <w:rFonts w:hint="default" w:ascii="仿宋_GB2312" w:hAnsi="仿宋_GB2312" w:eastAsia="仿宋_GB2312" w:cs="仿宋_GB2312"/>
                <w:lang w:eastAsia="zh-CN"/>
              </w:rPr>
              <w:t>027</w:t>
            </w:r>
            <w:r>
              <w:rPr>
                <w:rFonts w:ascii="仿宋_GB2312" w:hAnsi="仿宋_GB2312" w:eastAsia="仿宋_GB2312" w:cs="仿宋_GB2312"/>
                <w:lang w:eastAsia="zh-CN"/>
              </w:rPr>
              <w:t>年财政资金拨付到位后1</w:t>
            </w:r>
            <w:r>
              <w:rPr>
                <w:rFonts w:hint="default" w:ascii="仿宋_GB2312" w:hAnsi="仿宋_GB2312" w:eastAsia="仿宋_GB2312" w:cs="仿宋_GB2312"/>
                <w:lang w:eastAsia="zh-CN"/>
              </w:rPr>
              <w:t>0</w:t>
            </w:r>
            <w:r>
              <w:rPr>
                <w:rFonts w:ascii="仿宋_GB2312" w:hAnsi="仿宋_GB2312" w:eastAsia="仿宋_GB2312" w:cs="仿宋_GB2312"/>
                <w:lang w:eastAsia="zh-CN"/>
              </w:rPr>
              <w:t>个工作日内支付合同总价的4</w:t>
            </w:r>
            <w:r>
              <w:rPr>
                <w:rFonts w:hint="default" w:ascii="仿宋_GB2312" w:hAnsi="仿宋_GB2312" w:eastAsia="仿宋_GB2312" w:cs="仿宋_GB2312"/>
                <w:lang w:eastAsia="zh-CN"/>
              </w:rPr>
              <w:t>0%</w:t>
            </w:r>
            <w:r>
              <w:rPr>
                <w:rFonts w:ascii="仿宋_GB2312" w:hAnsi="仿宋_GB2312" w:eastAsia="仿宋_GB2312" w:cs="仿宋_GB2312"/>
                <w:lang w:eastAsia="zh-CN"/>
              </w:rPr>
              <w:t>作为预付款；2027年安装施工完成并验收合格后10个工作日内，支付合同总金额的</w:t>
            </w:r>
            <w:r>
              <w:rPr>
                <w:rFonts w:hint="default" w:ascii="仿宋_GB2312" w:hAnsi="仿宋_GB2312" w:eastAsia="仿宋_GB2312" w:cs="仿宋_GB2312"/>
                <w:lang w:eastAsia="zh-CN"/>
              </w:rPr>
              <w:t>10</w:t>
            </w:r>
            <w:r>
              <w:rPr>
                <w:rFonts w:ascii="仿宋_GB2312" w:hAnsi="仿宋_GB2312" w:eastAsia="仿宋_GB2312" w:cs="仿宋_GB2312"/>
                <w:lang w:eastAsia="zh-CN"/>
              </w:rPr>
              <w:t>%；2028年安装施工完成并验收合格后10个工作日内，支付合同总金额的</w:t>
            </w:r>
            <w:r>
              <w:rPr>
                <w:rFonts w:hint="default" w:ascii="仿宋_GB2312" w:hAnsi="仿宋_GB2312" w:eastAsia="仿宋_GB2312" w:cs="仿宋_GB2312"/>
                <w:lang w:eastAsia="zh-CN"/>
              </w:rPr>
              <w:t>50</w:t>
            </w:r>
            <w:r>
              <w:rPr>
                <w:rFonts w:ascii="仿宋_GB2312" w:hAnsi="仿宋_GB2312" w:eastAsia="仿宋_GB2312" w:cs="仿宋_GB2312"/>
                <w:lang w:eastAsia="zh-CN"/>
              </w:rPr>
              <w:t>%。</w:t>
            </w:r>
          </w:p>
          <w:p w14:paraId="0B839129">
            <w:pPr>
              <w:spacing w:line="360" w:lineRule="auto"/>
              <w:rPr>
                <w:rFonts w:ascii="仿宋" w:hAnsi="仿宋" w:eastAsia="仿宋" w:cs="宋体"/>
                <w:kern w:val="0"/>
                <w:sz w:val="20"/>
                <w:szCs w:val="20"/>
              </w:rPr>
            </w:pPr>
            <w:r>
              <w:rPr>
                <w:rFonts w:hint="eastAsia" w:ascii="仿宋" w:hAnsi="仿宋" w:eastAsia="仿宋" w:cs="宋体"/>
                <w:kern w:val="0"/>
                <w:sz w:val="20"/>
                <w:szCs w:val="20"/>
              </w:rPr>
              <w:t>8、</w:t>
            </w:r>
            <w:r>
              <w:rPr>
                <w:rFonts w:ascii="仿宋" w:hAnsi="仿宋" w:eastAsia="仿宋" w:cs="宋体"/>
                <w:kern w:val="0"/>
                <w:sz w:val="20"/>
                <w:szCs w:val="20"/>
              </w:rPr>
              <w:t>验收</w:t>
            </w:r>
            <w:r>
              <w:rPr>
                <w:rFonts w:hint="eastAsia" w:ascii="仿宋" w:hAnsi="仿宋" w:eastAsia="仿宋" w:cs="宋体"/>
                <w:kern w:val="0"/>
                <w:sz w:val="20"/>
                <w:szCs w:val="20"/>
              </w:rPr>
              <w:t>要求</w:t>
            </w:r>
          </w:p>
          <w:p w14:paraId="51648CCA">
            <w:pPr>
              <w:spacing w:line="360" w:lineRule="auto"/>
              <w:rPr>
                <w:rFonts w:ascii="仿宋" w:hAnsi="仿宋" w:eastAsia="仿宋" w:cs="宋体"/>
                <w:kern w:val="0"/>
                <w:sz w:val="20"/>
                <w:szCs w:val="20"/>
              </w:rPr>
            </w:pPr>
            <w:r>
              <w:rPr>
                <w:rFonts w:ascii="仿宋" w:hAnsi="仿宋" w:eastAsia="仿宋" w:cs="宋体"/>
                <w:kern w:val="0"/>
                <w:sz w:val="20"/>
                <w:szCs w:val="20"/>
              </w:rPr>
              <w:t>本项目独立执行到货检验、安装调试、初验、试运行、终验。验收依据为本项目招标文件、中标投标文件、采购合同、国家地震预警相关技术规范。</w:t>
            </w:r>
          </w:p>
          <w:p w14:paraId="1979F262">
            <w:pPr>
              <w:spacing w:line="360" w:lineRule="auto"/>
              <w:rPr>
                <w:rFonts w:ascii="仿宋" w:hAnsi="仿宋" w:eastAsia="仿宋" w:cs="宋体"/>
                <w:kern w:val="0"/>
                <w:sz w:val="20"/>
                <w:szCs w:val="20"/>
              </w:rPr>
            </w:pPr>
            <w:r>
              <w:rPr>
                <w:rFonts w:hint="eastAsia" w:ascii="仿宋" w:hAnsi="仿宋" w:eastAsia="仿宋" w:cs="宋体"/>
                <w:kern w:val="0"/>
                <w:sz w:val="20"/>
                <w:szCs w:val="20"/>
              </w:rPr>
              <w:t>（1）</w:t>
            </w:r>
            <w:r>
              <w:rPr>
                <w:rFonts w:ascii="仿宋" w:hAnsi="仿宋" w:eastAsia="仿宋" w:cs="宋体"/>
                <w:kern w:val="0"/>
                <w:sz w:val="20"/>
                <w:szCs w:val="20"/>
              </w:rPr>
              <w:t>到货检验：设备到货后采购人组织共同开箱检验，核对设备型号、序列号、数量、外观、出厂资料、检测报告，签署到货检验单；到货检验不合格不得开展安装。</w:t>
            </w:r>
          </w:p>
          <w:p w14:paraId="76545AA3">
            <w:pPr>
              <w:spacing w:line="360" w:lineRule="auto"/>
              <w:rPr>
                <w:rFonts w:ascii="仿宋" w:hAnsi="仿宋" w:eastAsia="仿宋" w:cs="宋体"/>
                <w:kern w:val="0"/>
                <w:sz w:val="20"/>
                <w:szCs w:val="20"/>
              </w:rPr>
            </w:pPr>
            <w:r>
              <w:rPr>
                <w:rFonts w:hint="eastAsia" w:ascii="仿宋" w:hAnsi="仿宋" w:eastAsia="仿宋" w:cs="宋体"/>
                <w:kern w:val="0"/>
                <w:sz w:val="20"/>
                <w:szCs w:val="20"/>
              </w:rPr>
              <w:t>（2）</w:t>
            </w:r>
            <w:r>
              <w:rPr>
                <w:rFonts w:ascii="仿宋" w:hAnsi="仿宋" w:eastAsia="仿宋" w:cs="宋体"/>
                <w:kern w:val="0"/>
                <w:sz w:val="20"/>
                <w:szCs w:val="20"/>
              </w:rPr>
              <w:t>安装调试：供应商完成现场安装、布线、供电、通信调试、终端入网注册，完成与紧急地震信息服务系统、防篡改系统集成；完成终端模拟演练自测、平台部署适配，出具安装调试自检报告，自检合格后方可申请初验。</w:t>
            </w:r>
          </w:p>
          <w:p w14:paraId="1D261288">
            <w:pPr>
              <w:spacing w:line="360" w:lineRule="auto"/>
              <w:rPr>
                <w:rFonts w:ascii="仿宋" w:hAnsi="仿宋" w:eastAsia="仿宋" w:cs="宋体"/>
                <w:kern w:val="0"/>
                <w:sz w:val="20"/>
                <w:szCs w:val="20"/>
              </w:rPr>
            </w:pPr>
            <w:r>
              <w:rPr>
                <w:rFonts w:hint="eastAsia" w:ascii="仿宋" w:hAnsi="仿宋" w:eastAsia="仿宋" w:cs="宋体"/>
                <w:kern w:val="0"/>
                <w:sz w:val="20"/>
                <w:szCs w:val="20"/>
              </w:rPr>
              <w:t>（3）</w:t>
            </w:r>
            <w:r>
              <w:rPr>
                <w:rFonts w:ascii="仿宋" w:hAnsi="仿宋" w:eastAsia="仿宋" w:cs="宋体"/>
                <w:kern w:val="0"/>
                <w:sz w:val="20"/>
                <w:szCs w:val="20"/>
              </w:rPr>
              <w:t>初验：</w:t>
            </w:r>
            <w:r>
              <w:rPr>
                <w:rFonts w:hint="eastAsia" w:ascii="仿宋" w:hAnsi="仿宋" w:eastAsia="仿宋" w:cs="宋体"/>
                <w:kern w:val="0"/>
                <w:sz w:val="20"/>
                <w:szCs w:val="20"/>
              </w:rPr>
              <w:t>由供应商自行按以下要求进行初步验收。</w:t>
            </w:r>
            <w:r>
              <w:rPr>
                <w:rFonts w:ascii="仿宋" w:hAnsi="仿宋" w:eastAsia="仿宋" w:cs="宋体"/>
                <w:kern w:val="0"/>
                <w:sz w:val="20"/>
                <w:szCs w:val="20"/>
              </w:rPr>
              <w:t>供应商</w:t>
            </w:r>
            <w:r>
              <w:rPr>
                <w:rFonts w:hint="eastAsia" w:ascii="仿宋" w:hAnsi="仿宋" w:eastAsia="仿宋" w:cs="宋体"/>
                <w:kern w:val="0"/>
                <w:sz w:val="20"/>
                <w:szCs w:val="20"/>
              </w:rPr>
              <w:t>检查验收资料是否齐全</w:t>
            </w:r>
            <w:r>
              <w:rPr>
                <w:rFonts w:ascii="仿宋" w:hAnsi="仿宋" w:eastAsia="仿宋" w:cs="宋体"/>
                <w:kern w:val="0"/>
                <w:sz w:val="20"/>
                <w:szCs w:val="20"/>
              </w:rPr>
              <w:t>，现场抽样开展硬件、地震预警全功能、管理平台、系统集成实测；实质性指标必须全部满足；存在一般缺陷出具整改清单闭环。初验合格签署初验报告，进入30日历天试运行；试运行期间终端在线率≥96%，故障闭环处置，形成试运行日志。试运行不达标则顺延试运行周期。</w:t>
            </w:r>
          </w:p>
          <w:p w14:paraId="58A1B3DC">
            <w:pPr>
              <w:spacing w:line="360" w:lineRule="auto"/>
              <w:rPr>
                <w:rFonts w:ascii="仿宋" w:hAnsi="仿宋" w:eastAsia="仿宋" w:cs="宋体"/>
                <w:kern w:val="0"/>
                <w:sz w:val="20"/>
                <w:szCs w:val="20"/>
              </w:rPr>
            </w:pPr>
            <w:r>
              <w:rPr>
                <w:rFonts w:hint="eastAsia" w:ascii="仿宋" w:hAnsi="仿宋" w:eastAsia="仿宋" w:cs="宋体"/>
                <w:kern w:val="0"/>
                <w:sz w:val="20"/>
                <w:szCs w:val="20"/>
              </w:rPr>
              <w:t>（4）</w:t>
            </w:r>
            <w:r>
              <w:rPr>
                <w:rFonts w:ascii="仿宋" w:hAnsi="仿宋" w:eastAsia="仿宋" w:cs="宋体"/>
                <w:kern w:val="0"/>
                <w:sz w:val="20"/>
                <w:szCs w:val="20"/>
              </w:rPr>
              <w:t>终验：试运行考核达标后，供应商提交终验申请；复核整改闭环、试运行指标、商务质保履约、培训及全套归档资料；终验合格签署终验报告，作为年度款项支付依据；质保期自对应年度批次终验合格之日起算。</w:t>
            </w:r>
          </w:p>
          <w:p w14:paraId="3C4AE4CB">
            <w:pPr>
              <w:spacing w:line="360" w:lineRule="auto"/>
              <w:rPr>
                <w:rFonts w:ascii="仿宋" w:hAnsi="仿宋" w:eastAsia="仿宋"/>
              </w:rPr>
            </w:pPr>
            <w:r>
              <w:rPr>
                <w:rFonts w:ascii="仿宋" w:hAnsi="仿宋" w:eastAsia="仿宋" w:cs="宋体"/>
                <w:kern w:val="0"/>
                <w:sz w:val="20"/>
                <w:szCs w:val="20"/>
              </w:rPr>
              <w:t>（5）验收不合格由供应商限期完成整改，整改及复测全部费用由供应商承担；两次验收不合格按合同违约条款执行。</w:t>
            </w:r>
          </w:p>
        </w:tc>
      </w:tr>
    </w:tbl>
    <w:p w14:paraId="62FC535E">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FF727E"/>
    <w:multiLevelType w:val="multilevel"/>
    <w:tmpl w:val="64FF727E"/>
    <w:lvl w:ilvl="0" w:tentative="0">
      <w:start w:val="1"/>
      <w:numFmt w:val="decimal"/>
      <w:suff w:val="nothing"/>
      <w:lvlText w:val="%1、"/>
      <w:lvlJc w:val="left"/>
      <w:pPr>
        <w:ind w:left="420" w:hanging="4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664FF0"/>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 w:type="paragraph" w:styleId="6">
    <w:name w:val="List Paragraph"/>
    <w:basedOn w:val="1"/>
    <w:qFormat/>
    <w:uiPriority w:val="99"/>
    <w:pPr>
      <w:ind w:firstLine="420" w:firstLineChars="200"/>
    </w:pPr>
    <w:rPr>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2026-10-26T07:37:36Z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