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版本号：XHJX-ZB-2026-01020260618001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临渭区下邽镇西关乡约文化长廊建设项目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XHJX-ZB-2026-010</w:t>
      </w:r>
      <w:r>
        <w:br/>
      </w:r>
      <w:r>
        <w:br/>
      </w:r>
      <w:r>
        <w:br/>
      </w:r>
    </w:p>
    <w:p>
      <w:pPr>
        <w:pStyle w:val="null3"/>
        <w:jc w:val="center"/>
        <w:outlineLvl w:val="2"/>
      </w:pPr>
      <w:r>
        <w:rPr>
          <w:rFonts w:ascii="仿宋_GB2312" w:hAnsi="仿宋_GB2312" w:cs="仿宋_GB2312" w:eastAsia="仿宋_GB2312"/>
          <w:sz w:val="28"/>
          <w:b/>
        </w:rPr>
        <w:t>陕西省渭南市临渭区下邽镇人民政府</w:t>
      </w:r>
    </w:p>
    <w:p>
      <w:pPr>
        <w:pStyle w:val="null3"/>
        <w:jc w:val="center"/>
        <w:outlineLvl w:val="2"/>
      </w:pPr>
      <w:r>
        <w:rPr>
          <w:rFonts w:ascii="仿宋_GB2312" w:hAnsi="仿宋_GB2312" w:cs="仿宋_GB2312" w:eastAsia="仿宋_GB2312"/>
          <w:sz w:val="28"/>
          <w:b/>
        </w:rPr>
        <w:t>陕西星河佳信项目管理有限公司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陕西星河佳信项目管理有限公司</w:t>
      </w:r>
      <w:r>
        <w:rPr>
          <w:rFonts w:ascii="仿宋_GB2312" w:hAnsi="仿宋_GB2312" w:cs="仿宋_GB2312" w:eastAsia="仿宋_GB2312"/>
        </w:rPr>
        <w:t>（以下简称“代理机构”）受</w:t>
      </w:r>
      <w:r>
        <w:rPr>
          <w:rFonts w:ascii="仿宋_GB2312" w:hAnsi="仿宋_GB2312" w:cs="仿宋_GB2312" w:eastAsia="仿宋_GB2312"/>
        </w:rPr>
        <w:t>陕西省渭南市临渭区下邽镇人民政府</w:t>
      </w:r>
      <w:r>
        <w:rPr>
          <w:rFonts w:ascii="仿宋_GB2312" w:hAnsi="仿宋_GB2312" w:cs="仿宋_GB2312" w:eastAsia="仿宋_GB2312"/>
        </w:rPr>
        <w:t>委托，拟对</w:t>
      </w:r>
      <w:r>
        <w:rPr>
          <w:rFonts w:ascii="仿宋_GB2312" w:hAnsi="仿宋_GB2312" w:cs="仿宋_GB2312" w:eastAsia="仿宋_GB2312"/>
        </w:rPr>
        <w:t>临渭区下邽镇西关乡约文化长廊建设项目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XHJX-ZB-2026-010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临渭区下邽镇西关乡约文化长廊建设项目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新修彩色沥青步道、石材道牙，设立书法石碑、书法雕塑，安装户外座椅、健身器材，景观太阳能路灯，新修文化长廊等。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采购包1（临渭区下邽镇西关乡约文化长廊建设项目）：属于专门面向中小企业采购。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1、具有独立承担民事责任的能力：提供注册登记凭证（营业执照、其他组织经营的合法凭证，自然人的提供身份证明文件）。</w:t>
      </w:r>
    </w:p>
    <w:p>
      <w:pPr>
        <w:pStyle w:val="null3"/>
      </w:pPr>
      <w:r>
        <w:rPr>
          <w:rFonts w:ascii="仿宋_GB2312" w:hAnsi="仿宋_GB2312" w:cs="仿宋_GB2312" w:eastAsia="仿宋_GB2312"/>
        </w:rPr>
        <w:t>2、供应商应提供健全的财务会计制度的证明材料：提供具有财务审计资质单位出具的2025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w:t>
      </w:r>
    </w:p>
    <w:p>
      <w:pPr>
        <w:pStyle w:val="null3"/>
      </w:pPr>
      <w:r>
        <w:rPr>
          <w:rFonts w:ascii="仿宋_GB2312" w:hAnsi="仿宋_GB2312" w:cs="仿宋_GB2312" w:eastAsia="仿宋_GB2312"/>
        </w:rPr>
        <w:t>3、资质证书：供应商需具备建筑工程施工总承包三级(含三级)及以上资质，并具有有效的安全生产许可证。</w:t>
      </w:r>
    </w:p>
    <w:p>
      <w:pPr>
        <w:pStyle w:val="null3"/>
      </w:pPr>
      <w:r>
        <w:rPr>
          <w:rFonts w:ascii="仿宋_GB2312" w:hAnsi="仿宋_GB2312" w:cs="仿宋_GB2312" w:eastAsia="仿宋_GB2312"/>
        </w:rPr>
        <w:t>4、项目经理资质以及无在建项目承诺书：项目经理为本企业注册的建筑工程专业贰级(含二级)资质，且不得担任其他在施建工程项目的项目经理(提供承诺书)。</w:t>
      </w:r>
    </w:p>
    <w:p>
      <w:pPr>
        <w:pStyle w:val="null3"/>
      </w:pPr>
      <w:r>
        <w:rPr>
          <w:rFonts w:ascii="仿宋_GB2312" w:hAnsi="仿宋_GB2312" w:cs="仿宋_GB2312" w:eastAsia="仿宋_GB2312"/>
        </w:rPr>
        <w:t>5、信用中国：供应商不得为“信用中国”网站(www.creditchina.gov.cn)中列入失信被执行人和重大税收违法案件当事人名单的投标人(提供查询结果网页截图)。</w:t>
      </w:r>
    </w:p>
    <w:p>
      <w:pPr>
        <w:pStyle w:val="null3"/>
      </w:pPr>
      <w:r>
        <w:rPr>
          <w:rFonts w:ascii="仿宋_GB2312" w:hAnsi="仿宋_GB2312" w:cs="仿宋_GB2312" w:eastAsia="仿宋_GB2312"/>
        </w:rPr>
        <w:t>6、无重大违法或不良记录：供应商参与招标活动前三年内在经营活动中没有重大违法或不良记录的书面声明函。</w:t>
      </w:r>
    </w:p>
    <w:p>
      <w:pPr>
        <w:pStyle w:val="null3"/>
      </w:pPr>
      <w:r>
        <w:rPr>
          <w:rFonts w:ascii="仿宋_GB2312" w:hAnsi="仿宋_GB2312" w:cs="仿宋_GB2312" w:eastAsia="仿宋_GB2312"/>
        </w:rPr>
        <w:t>7、单位负责人为同一人或者存在直接控股、管理关系的不同供应商不得参加同一合同项下的政府采购活动；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提供承诺书。</w:t>
      </w:r>
    </w:p>
    <w:p>
      <w:pPr>
        <w:pStyle w:val="null3"/>
      </w:pPr>
      <w:r>
        <w:rPr>
          <w:rFonts w:ascii="仿宋_GB2312" w:hAnsi="仿宋_GB2312" w:cs="仿宋_GB2312" w:eastAsia="仿宋_GB2312"/>
        </w:rPr>
        <w:t>8、税收缴纳证明：提供投标文件递交截止时间前一年内任意一个月的缴费凭据（依法免税的供应商应提供相关文件证明）；</w:t>
      </w:r>
    </w:p>
    <w:p>
      <w:pPr>
        <w:pStyle w:val="null3"/>
      </w:pPr>
      <w:r>
        <w:rPr>
          <w:rFonts w:ascii="仿宋_GB2312" w:hAnsi="仿宋_GB2312" w:cs="仿宋_GB2312" w:eastAsia="仿宋_GB2312"/>
        </w:rPr>
        <w:t>9、法定代表人参与投标时需提供法定代表人资格证明书；被授权人参与投标时需提供法定代表人授权委托书；：法定代表人被授权人参加的，须出具授权书（附法定代表人、被授权人身份证复印件）；法定代表人参加的需提供法人身份证明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陕西省渭南市临渭区下邽镇人民政府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渭南市临渭区下邽镇东关村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陕西省渭南市临渭区下邽镇人民政府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0913-2733028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陕西星河佳信项目管理有限公司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陕西省渭南市临渭区陕西省渭南市临渭区杜化路苏园丰景8号楼2单元9层2室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18592026079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13369139666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采购包1：1,007,619.72元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开户名称：陕西星河佳信项目管理有限公司</w:t>
            </w:r>
          </w:p>
          <w:p>
            <w:pPr>
              <w:pStyle w:val="null3"/>
            </w:pPr>
            <w:r>
              <w:rPr>
                <w:rFonts w:ascii="仿宋_GB2312" w:hAnsi="仿宋_GB2312" w:cs="仿宋_GB2312" w:eastAsia="仿宋_GB2312"/>
              </w:rPr>
              <w:t>开户银行：中国银行股份有限公司渭南杜桥支行</w:t>
            </w:r>
          </w:p>
          <w:p>
            <w:pPr>
              <w:pStyle w:val="null3"/>
            </w:pPr>
            <w:r>
              <w:rPr>
                <w:rFonts w:ascii="仿宋_GB2312" w:hAnsi="仿宋_GB2312" w:cs="仿宋_GB2312" w:eastAsia="仿宋_GB2312"/>
              </w:rPr>
              <w:t>银行账号：102909441805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代理服务费收费标准：磋商代理服务费金额参照国家计委颁布的《招标代理服务收费管理暂行办法》（计价格『2002』1980号）和发改办价格 『2003』857号文以及『2011』534号文中规定的标准计算。成交供应商应在收到成交通知书3日内，向陕西星河佳信项目管理有限公司一次性支付采购代理服务费。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陕西省渭南市临渭区下邽镇人民政府</w:t>
      </w:r>
      <w:r>
        <w:rPr>
          <w:rFonts w:ascii="仿宋_GB2312" w:hAnsi="仿宋_GB2312" w:cs="仿宋_GB2312" w:eastAsia="仿宋_GB2312"/>
        </w:rPr>
        <w:t>和</w:t>
      </w:r>
      <w:r>
        <w:rPr>
          <w:rFonts w:ascii="仿宋_GB2312" w:hAnsi="仿宋_GB2312" w:cs="仿宋_GB2312" w:eastAsia="仿宋_GB2312"/>
        </w:rPr>
        <w:t>陕西星河佳信项目管理有限公司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陕西省渭南市临渭区下邽镇人民政府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陕西星河佳信项目管理有限公司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陕西省渭南市临渭区下邽镇人民政府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陕西星河佳信项目管理有限公司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符合国家相关行业规范、规程和有关技术规定。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陕西星河佳信项目管理有限公司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陕西星河佳信项目管理有限公司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陕西星河佳信项目管理有限公司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联系电话：18592026079</w:t>
      </w:r>
    </w:p>
    <w:p>
      <w:pPr>
        <w:pStyle w:val="null3"/>
      </w:pPr>
      <w:r>
        <w:rPr>
          <w:rFonts w:ascii="仿宋_GB2312" w:hAnsi="仿宋_GB2312" w:cs="仿宋_GB2312" w:eastAsia="仿宋_GB2312"/>
        </w:rPr>
        <w:t>地址：陕西省渭南市临渭区陕西省渭南市临渭区杜化路苏园丰景8号楼2单元9层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1,007,619.72</w:t>
      </w:r>
    </w:p>
    <w:p>
      <w:pPr>
        <w:pStyle w:val="null3"/>
      </w:pPr>
      <w:r>
        <w:rPr>
          <w:rFonts w:ascii="仿宋_GB2312" w:hAnsi="仿宋_GB2312" w:cs="仿宋_GB2312" w:eastAsia="仿宋_GB2312"/>
        </w:rPr>
        <w:t>采购包最高限价（元）: 1,007,619.72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临渭区下邽镇西关乡约文化长廊建设项目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1,007,619.72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标的名称：临渭区下邽镇西关乡约文化长廊建设项目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景观环境改造，休闲娱乐设施，名人景观展示。符合行业标准及技术要求。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项目全部验收达到合格标准，符合国家相关行业规范、规程和有关技术规定。</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提供注册登记凭证（营业执照、其他组织经营的合法凭证，自然人的提供身份证明文件）。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供应商需具备建筑工程施工总承包三级(含三级)及以上资质，并具有有效的安全生产许可证。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项目经理资质以及无在建项目承诺书</w:t>
            </w:r>
          </w:p>
        </w:tc>
        <w:tc>
          <w:tcPr>
            <w:tcW w:type="dxa" w:w="3322"/>
          </w:tcPr>
          <w:p>
            <w:pPr>
              <w:pStyle w:val="null3"/>
            </w:pPr>
            <w:r>
              <w:rPr>
                <w:rFonts w:ascii="仿宋_GB2312" w:hAnsi="仿宋_GB2312" w:cs="仿宋_GB2312" w:eastAsia="仿宋_GB2312"/>
              </w:rPr>
              <w:t>项目经理为本企业注册的建筑工程专业贰级(含二级)资质，且不得担任其他在施建工程项目的项目经理(提供承诺书)。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供应商不得为“信用中国”网站(www.creditchina.gov.cn)中列入失信被执行人和重大税收违法案件当事人名单的投标人(提供查询结果网页截图)。</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无重大违法或不良记录</w:t>
            </w:r>
          </w:p>
        </w:tc>
        <w:tc>
          <w:tcPr>
            <w:tcW w:type="dxa" w:w="3322"/>
          </w:tcPr>
          <w:p>
            <w:pPr>
              <w:pStyle w:val="null3"/>
            </w:pPr>
            <w:r>
              <w:rPr>
                <w:rFonts w:ascii="仿宋_GB2312" w:hAnsi="仿宋_GB2312" w:cs="仿宋_GB2312" w:eastAsia="仿宋_GB2312"/>
              </w:rPr>
              <w:t>供应商参与招标活动前三年内在经营活动中没有重大违法或不良记录的书面声明函。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提供投标文件递交截止时间前一年内任意一个月的缴费凭据（依法免税的供应商应提供相关文件证明）；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法定代表人参与投标时需提供法定代表人资格证明书；被授权人参与投标时需提供法定代表人授权委托书；</w:t>
            </w:r>
          </w:p>
        </w:tc>
        <w:tc>
          <w:tcPr>
            <w:tcW w:type="dxa" w:w="3322"/>
          </w:tcPr>
          <w:p>
            <w:pPr>
              <w:pStyle w:val="null3"/>
            </w:pPr>
            <w:r>
              <w:rPr>
                <w:rFonts w:ascii="仿宋_GB2312" w:hAnsi="仿宋_GB2312" w:cs="仿宋_GB2312" w:eastAsia="仿宋_GB2312"/>
              </w:rPr>
              <w:t>法定代表人被授权人参加的，须出具授权书（附法定代表人、被授权人身份证复印件）；法定代表人参加的需提供法人身份证明书；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投标函签字盖章</w:t>
            </w:r>
          </w:p>
        </w:tc>
        <w:tc>
          <w:tcPr>
            <w:tcW w:type="dxa" w:w="3322"/>
          </w:tcPr>
          <w:p>
            <w:pPr>
              <w:pStyle w:val="null3"/>
            </w:pPr>
            <w:r>
              <w:rPr>
                <w:rFonts w:ascii="仿宋_GB2312" w:hAnsi="仿宋_GB2312" w:cs="仿宋_GB2312" w:eastAsia="仿宋_GB2312"/>
              </w:rPr>
              <w:t>有法定代表人或其委托代理人签字或加盖单位章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技术服务合同条款及其他商务要求应答表 供应商应提交的相关资格证明材料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w:t>
            </w:r>
          </w:p>
        </w:tc>
        <w:tc>
          <w:tcPr>
            <w:tcW w:type="dxa" w:w="1661"/>
          </w:tcPr>
          <w:p>
            <w:pPr>
              <w:pStyle w:val="null3"/>
            </w:pPr>
            <w:r>
              <w:rPr>
                <w:rFonts w:ascii="仿宋_GB2312" w:hAnsi="仿宋_GB2312" w:cs="仿宋_GB2312" w:eastAsia="仿宋_GB2312"/>
              </w:rPr>
              <w:t>已标价工程量清单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符合“投标文件格式”的要求</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2022年1月1日至投标截止供应商承建过类似项目业绩，每提供一个得1分，本项最高得5分。（以合同或中标通知书为准，须在采购文件中附合同或中标通知书的扫描件加盖单位公章，原件备查）弄虚作假者，取消其中标资格。</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项目经理业绩</w:t>
            </w:r>
          </w:p>
        </w:tc>
        <w:tc>
          <w:tcPr>
            <w:tcW w:type="dxa" w:w="2492"/>
          </w:tcPr>
          <w:p>
            <w:pPr>
              <w:pStyle w:val="null3"/>
            </w:pPr>
            <w:r>
              <w:rPr>
                <w:rFonts w:ascii="仿宋_GB2312" w:hAnsi="仿宋_GB2312" w:cs="仿宋_GB2312" w:eastAsia="仿宋_GB2312"/>
              </w:rPr>
              <w:t>拟投入本项目项目经理每担任过类似业绩，1项得1分最多得2分，没有不得分（合同复印件或中标通知书为准）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人员组织安排</w:t>
            </w:r>
          </w:p>
        </w:tc>
        <w:tc>
          <w:tcPr>
            <w:tcW w:type="dxa" w:w="2492"/>
          </w:tcPr>
          <w:p>
            <w:pPr>
              <w:pStyle w:val="null3"/>
            </w:pPr>
            <w:r>
              <w:rPr>
                <w:rFonts w:ascii="仿宋_GB2312" w:hAnsi="仿宋_GB2312" w:cs="仿宋_GB2312" w:eastAsia="仿宋_GB2312"/>
              </w:rPr>
              <w:t>人员组织安排： 针对该项目的人员组织安排合理，人员配备符合 本项目实际需求，得[5-8]分； 针对该项目的人员组织安排基本合理，人员配备 符合本项目实际需求，得[3-5）分； 针对该项目的人员组织安排一般，人员配备基本 符合本项目实际需求，得[0-3）分；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针对本项目实际情况及采购人实际需求提供相应的服务保证承诺、后续服务条件和内容，按其响应程度计0～5分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施工方案与技术措施：对本项目特性了解透彻，施工方案、方法与技术措施内容全面，方案先进、经济并与项目实际结合紧密，对施工具有高度指导性的得（7-10]分；与项目契合度较高的得(4-7]分；一般的得（0-4]分。 2、质量管理体系与保证措施：质量目标明确，管理体系健全，预控和动态控制措施完善，实施工艺先进、可靠、科学，管理体系和组织措施功能完善、管理幅度适宜得（5-10]分；一般的得（0-5]分。 3、确保安全生产的技术组织措施：安全管理体系健全、质量安全措施可靠、安全经费有保障的得（5-10]分；一般的得（0-5]分。 4、文明施工、环境保护管理体系与措施：环境保护管理体系健全、文明施工、污染物处理和排放符合国家规范、技术及管理措施可行得（5-10]分；一般的得（0-5]分。 5、工程进度计划与措施：工期满足招标文件要求，进度计划、进度图合理得（3-5]分；一般的得（0-3]分。 6、施工机械设备配备计划和劳动力安排计划：施工机械配备合理、劳动力计划安排合理（3-5]分；一般的得（0-3]分。</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 投标报价得分=（评标基准价/投标报价）×价格权值×100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详见附件：技术服务方案.docx</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