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版本号：HHGJZC2026-CS40920260811001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陕西省督察技术服务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HHGJZC2026-CS409</w:t>
      </w:r>
      <w:r>
        <w:br/>
      </w:r>
      <w:r>
        <w:br/>
      </w:r>
      <w:r>
        <w:br/>
      </w:r>
    </w:p>
    <w:p>
      <w:pPr>
        <w:pStyle w:val="null3"/>
        <w:jc w:val="center"/>
        <w:outlineLvl w:val="2"/>
      </w:pPr>
      <w:r>
        <w:rPr>
          <w:rFonts w:ascii="仿宋_GB2312" w:hAnsi="仿宋_GB2312" w:cs="仿宋_GB2312" w:eastAsia="仿宋_GB2312"/>
          <w:sz w:val="28"/>
          <w:b/>
        </w:rPr>
        <w:t>陕西省自然资源厅</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陕西省自然资源厅</w:t>
      </w:r>
      <w:r>
        <w:rPr>
          <w:rFonts w:ascii="仿宋_GB2312" w:hAnsi="仿宋_GB2312" w:cs="仿宋_GB2312" w:eastAsia="仿宋_GB2312"/>
        </w:rPr>
        <w:t>委托，拟对</w:t>
      </w:r>
      <w:r>
        <w:rPr>
          <w:rFonts w:ascii="仿宋_GB2312" w:hAnsi="仿宋_GB2312" w:cs="仿宋_GB2312" w:eastAsia="仿宋_GB2312"/>
        </w:rPr>
        <w:t>陕西省督察技术服务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HHGJZC2026-CS409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陕西省督察技术服务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陕西省督察技术服务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采购包1（陕西省督察技术服务）：属于专门面向中小企业采购。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2、供应商资质：供应商应具有乙级及以上测绘资质证书（包含摄影测量与遥感、工程测量、地理信息系统工程）</w:t>
      </w:r>
    </w:p>
    <w:p>
      <w:pPr>
        <w:pStyle w:val="null3"/>
      </w:pPr>
      <w:r>
        <w:rPr>
          <w:rFonts w:ascii="仿宋_GB2312" w:hAnsi="仿宋_GB2312" w:cs="仿宋_GB2312" w:eastAsia="仿宋_GB2312"/>
        </w:rPr>
        <w:t>3、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陕西省自然资源厅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劳动南路180号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029-88630866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陕西省自然资源厅</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陕西省自然资源厅</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陕西省自然资源厅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归采购人所属</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陕西省自然资源督察技术服务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1,390,000.00</w:t>
      </w:r>
    </w:p>
    <w:p>
      <w:pPr>
        <w:pStyle w:val="null3"/>
      </w:pPr>
      <w:r>
        <w:rPr>
          <w:rFonts w:ascii="仿宋_GB2312" w:hAnsi="仿宋_GB2312" w:cs="仿宋_GB2312" w:eastAsia="仿宋_GB2312"/>
        </w:rPr>
        <w:t>采购包最高限价（元）: 1,390,000.00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陕西省自然资源厅督察技术服务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标的名称：陕西省自然资源厅督察技术服务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225" w:firstLine="480"/>
            </w:pPr>
            <w:r>
              <w:rPr>
                <w:rFonts w:ascii="仿宋_GB2312" w:hAnsi="仿宋_GB2312" w:cs="仿宋_GB2312" w:eastAsia="仿宋_GB2312"/>
                <w:sz w:val="24"/>
              </w:rPr>
              <w:t>一、商务要求</w:t>
            </w:r>
          </w:p>
          <w:p>
            <w:pPr>
              <w:pStyle w:val="null3"/>
              <w:ind w:right="225" w:firstLine="480"/>
            </w:pPr>
            <w:r>
              <w:rPr>
                <w:rFonts w:ascii="仿宋_GB2312" w:hAnsi="仿宋_GB2312" w:cs="仿宋_GB2312" w:eastAsia="仿宋_GB2312"/>
                <w:sz w:val="24"/>
                <w:color w:val="000000"/>
              </w:rPr>
              <w:t>（一）项目内容：陕西省督察技术服务。</w:t>
            </w:r>
          </w:p>
          <w:p>
            <w:pPr>
              <w:pStyle w:val="null3"/>
              <w:ind w:right="225" w:firstLine="480"/>
            </w:pPr>
            <w:r>
              <w:rPr>
                <w:rFonts w:ascii="仿宋_GB2312" w:hAnsi="仿宋_GB2312" w:cs="仿宋_GB2312" w:eastAsia="仿宋_GB2312"/>
                <w:sz w:val="24"/>
                <w:color w:val="000000"/>
              </w:rPr>
              <w:t>（二）项目预算：</w:t>
            </w:r>
            <w:r>
              <w:rPr>
                <w:rFonts w:ascii="仿宋_GB2312" w:hAnsi="仿宋_GB2312" w:cs="仿宋_GB2312" w:eastAsia="仿宋_GB2312"/>
                <w:sz w:val="24"/>
                <w:color w:val="000000"/>
              </w:rPr>
              <w:t>2026年督察技术服务项目预算资金139万元。</w:t>
            </w:r>
          </w:p>
          <w:p>
            <w:pPr>
              <w:pStyle w:val="null3"/>
              <w:ind w:right="225" w:firstLine="480"/>
            </w:pPr>
            <w:r>
              <w:rPr>
                <w:rFonts w:ascii="仿宋_GB2312" w:hAnsi="仿宋_GB2312" w:cs="仿宋_GB2312" w:eastAsia="仿宋_GB2312"/>
                <w:sz w:val="24"/>
                <w:color w:val="000000"/>
              </w:rPr>
              <w:t>（三）服务期限：自合同签订之日起三年。（合同一年一签，每年合同期满后由采购方组织验收，若年度技术服务考核验收不合格，可按合同约定条款取消技术服务资格，若连续考核验收合格，总服务期限不超</w:t>
            </w:r>
            <w:r>
              <w:rPr>
                <w:rFonts w:ascii="仿宋_GB2312" w:hAnsi="仿宋_GB2312" w:cs="仿宋_GB2312" w:eastAsia="仿宋_GB2312"/>
                <w:sz w:val="24"/>
                <w:color w:val="000000"/>
              </w:rPr>
              <w:t>3年。）</w:t>
            </w:r>
          </w:p>
          <w:p>
            <w:pPr>
              <w:pStyle w:val="null3"/>
              <w:ind w:right="225" w:firstLine="480"/>
            </w:pPr>
            <w:r>
              <w:rPr>
                <w:rFonts w:ascii="仿宋_GB2312" w:hAnsi="仿宋_GB2312" w:cs="仿宋_GB2312" w:eastAsia="仿宋_GB2312"/>
                <w:sz w:val="24"/>
                <w:color w:val="000000"/>
              </w:rPr>
              <w:t>（四）质量要求：符合国家及行业相关标准，满足采购人需求。</w:t>
            </w:r>
          </w:p>
          <w:p>
            <w:pPr>
              <w:pStyle w:val="null3"/>
              <w:ind w:right="225" w:firstLine="480"/>
            </w:pPr>
            <w:r>
              <w:rPr>
                <w:rFonts w:ascii="仿宋_GB2312" w:hAnsi="仿宋_GB2312" w:cs="仿宋_GB2312" w:eastAsia="仿宋_GB2312"/>
                <w:sz w:val="24"/>
                <w:color w:val="000000"/>
              </w:rPr>
              <w:t>（五）付款方式：自本合同签订之日起</w:t>
            </w:r>
            <w:r>
              <w:rPr>
                <w:rFonts w:ascii="仿宋_GB2312" w:hAnsi="仿宋_GB2312" w:cs="仿宋_GB2312" w:eastAsia="仿宋_GB2312"/>
                <w:sz w:val="24"/>
                <w:color w:val="000000"/>
              </w:rPr>
              <w:t>20 个工作日内，甲方以银行转账方式向乙方支付 2026 年度服务费用。后续各年度服务费用，依据当年财政预算下达情况予以支付。</w:t>
            </w:r>
          </w:p>
          <w:p>
            <w:pPr>
              <w:pStyle w:val="null3"/>
              <w:ind w:right="225" w:firstLine="480"/>
            </w:pPr>
            <w:r>
              <w:rPr>
                <w:rFonts w:ascii="仿宋_GB2312" w:hAnsi="仿宋_GB2312" w:cs="仿宋_GB2312" w:eastAsia="仿宋_GB2312"/>
                <w:sz w:val="24"/>
                <w:color w:val="000000"/>
              </w:rPr>
              <w:t>（六）采购方式：竞争性磋商</w:t>
            </w:r>
          </w:p>
          <w:p>
            <w:pPr>
              <w:pStyle w:val="null3"/>
              <w:ind w:right="225" w:firstLine="480"/>
            </w:pPr>
            <w:r>
              <w:rPr>
                <w:rFonts w:ascii="仿宋_GB2312" w:hAnsi="仿宋_GB2312" w:cs="仿宋_GB2312" w:eastAsia="仿宋_GB2312"/>
                <w:sz w:val="24"/>
                <w:color w:val="000000"/>
              </w:rPr>
              <w:t>二、采购依据及内容</w:t>
            </w:r>
          </w:p>
          <w:p>
            <w:pPr>
              <w:pStyle w:val="null3"/>
              <w:ind w:right="225" w:firstLine="480"/>
            </w:pPr>
            <w:r>
              <w:rPr>
                <w:rFonts w:ascii="仿宋_GB2312" w:hAnsi="仿宋_GB2312" w:cs="仿宋_GB2312" w:eastAsia="仿宋_GB2312"/>
                <w:sz w:val="24"/>
                <w:color w:val="000000"/>
              </w:rPr>
              <w:t>（一）采购依据</w:t>
            </w:r>
          </w:p>
          <w:p>
            <w:pPr>
              <w:pStyle w:val="null3"/>
              <w:ind w:right="225" w:firstLine="480"/>
            </w:pPr>
            <w:r>
              <w:rPr>
                <w:rFonts w:ascii="仿宋_GB2312" w:hAnsi="仿宋_GB2312" w:cs="仿宋_GB2312" w:eastAsia="仿宋_GB2312"/>
                <w:sz w:val="24"/>
                <w:color w:val="000000"/>
              </w:rPr>
              <w:t>采购依据国家财政部《政府购买服务管理办法》（财政部令第</w:t>
            </w:r>
            <w:r>
              <w:rPr>
                <w:rFonts w:ascii="仿宋_GB2312" w:hAnsi="仿宋_GB2312" w:cs="仿宋_GB2312" w:eastAsia="仿宋_GB2312"/>
                <w:sz w:val="24"/>
                <w:color w:val="000000"/>
              </w:rPr>
              <w:t>102号）和《陕西省财政厅关于政府采购支持中小企业发展有关事项通知》（陕财办采〔2020]〕13号）。</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（二）服务内容</w:t>
            </w:r>
          </w:p>
          <w:p>
            <w:pPr>
              <w:pStyle w:val="null3"/>
              <w:ind w:right="225" w:firstLine="480"/>
            </w:pPr>
            <w:r>
              <w:rPr>
                <w:rFonts w:ascii="仿宋_GB2312" w:hAnsi="仿宋_GB2312" w:cs="仿宋_GB2312" w:eastAsia="仿宋_GB2312"/>
                <w:sz w:val="24"/>
                <w:color w:val="000000"/>
              </w:rPr>
              <w:t>供应商依据部省相关自然资源管理政策，完成合同约定期内全省自然资源督察发现问题整改的技术支撑及其他专项工作。具体工作任务如下：</w:t>
            </w:r>
          </w:p>
          <w:p>
            <w:pPr>
              <w:pStyle w:val="null3"/>
              <w:ind w:right="225" w:firstLine="480"/>
            </w:pPr>
            <w:r>
              <w:rPr>
                <w:rFonts w:ascii="仿宋_GB2312" w:hAnsi="仿宋_GB2312" w:cs="仿宋_GB2312" w:eastAsia="仿宋_GB2312"/>
                <w:sz w:val="24"/>
                <w:color w:val="000000"/>
              </w:rPr>
              <w:t>1、2025年及以前年度自然资源督察反馈问题核查审核。</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1）内业审核。建立省级督察任务，开展督察问题图斑审核及线上举证，根据举证资料、举证照片、航拍、卫星影像等对图斑进行套合，核查图斑内拆除复耕情况、批复供地等情况；</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2）实地核查。配合对重点督办问题及需外业核查的问题开展外业实地核查；</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3）系统填报。按要求在部“在线自然资源督察数据报盘软件”对省级验收通过的问题进行填报，包括整改情况、整改措施及相关举证资料上传；</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4）建立问题图斑“一点一档”相关技术挡案，对所有督察问题的数据资料及整改进展、整改标准、完成时限、整改要求等要素进行一一梳理，建立问题整改进展资料档案；</w:t>
            </w:r>
          </w:p>
          <w:p>
            <w:pPr>
              <w:pStyle w:val="null3"/>
              <w:ind w:right="225" w:firstLine="480"/>
            </w:pPr>
            <w:r>
              <w:rPr>
                <w:rFonts w:ascii="仿宋_GB2312" w:hAnsi="仿宋_GB2312" w:cs="仿宋_GB2312" w:eastAsia="仿宋_GB2312"/>
                <w:sz w:val="24"/>
                <w:color w:val="000000"/>
              </w:rPr>
              <w:t>2、2026年自然资源督察反馈问题核查审核。根据国家自然资源督察西安局督察反馈问题情况，对涉及我省的所有督察问题矢量数据和相关信息进行技术核查审核；</w:t>
            </w:r>
          </w:p>
          <w:p>
            <w:pPr>
              <w:pStyle w:val="null3"/>
              <w:ind w:right="225" w:firstLine="480"/>
            </w:pPr>
            <w:r>
              <w:rPr>
                <w:rFonts w:ascii="仿宋_GB2312" w:hAnsi="仿宋_GB2312" w:cs="仿宋_GB2312" w:eastAsia="仿宋_GB2312"/>
                <w:sz w:val="24"/>
                <w:color w:val="000000"/>
              </w:rPr>
              <w:t>3、探索开展省级督察工作。聚焦“三区三线”划定成果，重点对突破“三区三线”的问题进行专项督察；</w:t>
            </w:r>
          </w:p>
          <w:p>
            <w:pPr>
              <w:pStyle w:val="null3"/>
              <w:ind w:right="225" w:firstLine="480"/>
            </w:pPr>
            <w:r>
              <w:rPr>
                <w:rFonts w:ascii="仿宋_GB2312" w:hAnsi="仿宋_GB2312" w:cs="仿宋_GB2312" w:eastAsia="仿宋_GB2312"/>
                <w:sz w:val="24"/>
                <w:color w:val="000000"/>
              </w:rPr>
              <w:t>4、对督察信息平台进行日常技术检验与维护。</w:t>
            </w:r>
          </w:p>
          <w:p>
            <w:pPr>
              <w:pStyle w:val="null3"/>
              <w:ind w:right="225" w:firstLine="480"/>
            </w:pPr>
            <w:r>
              <w:rPr>
                <w:rFonts w:ascii="仿宋_GB2312" w:hAnsi="仿宋_GB2312" w:cs="仿宋_GB2312" w:eastAsia="仿宋_GB2312"/>
                <w:sz w:val="24"/>
                <w:color w:val="000000"/>
              </w:rPr>
              <w:t>5、其他工作</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1）根据督察工作各环节、各阶段督察问题整改技术要求进行日常统计和技术分析；</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2）全省督察数据上传更新，督察执法系统信息填报及各项功能的技术检验与维护；</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3）其他督察技术服务相关工作。</w:t>
            </w:r>
          </w:p>
          <w:p>
            <w:pPr>
              <w:pStyle w:val="null3"/>
              <w:ind w:right="225" w:firstLine="480"/>
            </w:pPr>
            <w:r>
              <w:rPr>
                <w:rFonts w:ascii="仿宋_GB2312" w:hAnsi="仿宋_GB2312" w:cs="仿宋_GB2312" w:eastAsia="仿宋_GB2312"/>
                <w:sz w:val="24"/>
                <w:color w:val="000000"/>
              </w:rPr>
              <w:t>三、服务保障</w:t>
            </w:r>
          </w:p>
          <w:p>
            <w:pPr>
              <w:pStyle w:val="null3"/>
              <w:ind w:right="225" w:firstLine="480"/>
            </w:pPr>
            <w:r>
              <w:rPr>
                <w:rFonts w:ascii="仿宋_GB2312" w:hAnsi="仿宋_GB2312" w:cs="仿宋_GB2312" w:eastAsia="仿宋_GB2312"/>
                <w:sz w:val="24"/>
                <w:color w:val="000000"/>
              </w:rPr>
              <w:t>（一）组织实施</w:t>
            </w:r>
          </w:p>
          <w:p>
            <w:pPr>
              <w:pStyle w:val="null3"/>
              <w:ind w:right="225" w:firstLine="480"/>
            </w:pPr>
            <w:r>
              <w:rPr>
                <w:rFonts w:ascii="仿宋_GB2312" w:hAnsi="仿宋_GB2312" w:cs="仿宋_GB2312" w:eastAsia="仿宋_GB2312"/>
                <w:sz w:val="24"/>
                <w:color w:val="000000"/>
              </w:rPr>
              <w:t>为保障项目顺利实施，投标人需投入充足的技术力量并建立稳定的项目实施架构，建立质量管理及保密制度保障项目按时、按质、按量有序实施。在项目日常管理和条件保障方面，从行政组织、后勤保障和支撑条件各方面创造良好的服务环境，确保项目的顺利实施。</w:t>
            </w:r>
          </w:p>
          <w:p>
            <w:pPr>
              <w:pStyle w:val="null3"/>
              <w:ind w:right="225" w:firstLine="480"/>
            </w:pPr>
            <w:r>
              <w:rPr>
                <w:rFonts w:ascii="仿宋_GB2312" w:hAnsi="仿宋_GB2312" w:cs="仿宋_GB2312" w:eastAsia="仿宋_GB2312"/>
                <w:sz w:val="24"/>
                <w:color w:val="000000"/>
              </w:rPr>
              <w:t>（二）人员要求</w:t>
            </w:r>
          </w:p>
          <w:p>
            <w:pPr>
              <w:pStyle w:val="null3"/>
              <w:ind w:right="225" w:firstLine="480"/>
            </w:pPr>
            <w:r>
              <w:rPr>
                <w:rFonts w:ascii="仿宋_GB2312" w:hAnsi="仿宋_GB2312" w:cs="仿宋_GB2312" w:eastAsia="仿宋_GB2312"/>
                <w:sz w:val="24"/>
                <w:color w:val="000000"/>
              </w:rPr>
              <w:t>1.投标人应保证投入本项目的工作人员充足，人员应具备遥感、测绘、地理信息、土地管理等相关专业资格和法治素养，保证项目进度及实施质量</w:t>
            </w:r>
          </w:p>
          <w:p>
            <w:pPr>
              <w:pStyle w:val="null3"/>
              <w:ind w:right="225" w:firstLine="480"/>
            </w:pPr>
            <w:r>
              <w:rPr>
                <w:rFonts w:ascii="仿宋_GB2312" w:hAnsi="仿宋_GB2312" w:cs="仿宋_GB2312" w:eastAsia="仿宋_GB2312"/>
                <w:sz w:val="24"/>
                <w:color w:val="000000"/>
              </w:rPr>
              <w:t>2.投标人选派技术骨干3名提供驻场服务，驻场服务期间不得随意更换，如需更换，需经采购人同意。</w:t>
            </w:r>
          </w:p>
          <w:p>
            <w:pPr>
              <w:pStyle w:val="null3"/>
              <w:ind w:right="225" w:firstLine="480"/>
            </w:pPr>
            <w:r>
              <w:rPr>
                <w:rFonts w:ascii="仿宋_GB2312" w:hAnsi="仿宋_GB2312" w:cs="仿宋_GB2312" w:eastAsia="仿宋_GB2312"/>
                <w:sz w:val="24"/>
                <w:color w:val="000000"/>
              </w:rPr>
              <w:t>（三）信息保密</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1）投标人须按国家相关法律法规的要求，制定数据安全保密措施，严防泄密，确保数据安全。</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2）投标人不得私自与受检单位联系，透漏核查有关信息，确保核查结果客观公正。</w:t>
            </w:r>
          </w:p>
          <w:p>
            <w:pPr>
              <w:pStyle w:val="null3"/>
              <w:ind w:right="225" w:firstLine="480"/>
            </w:pPr>
            <w:r>
              <w:rPr>
                <w:rFonts w:ascii="仿宋_GB2312" w:hAnsi="仿宋_GB2312" w:cs="仿宋_GB2312" w:eastAsia="仿宋_GB2312"/>
                <w:sz w:val="24"/>
                <w:color w:val="000000"/>
              </w:rPr>
              <w:t>（四）安全工作</w:t>
            </w:r>
          </w:p>
          <w:p>
            <w:pPr>
              <w:pStyle w:val="null3"/>
              <w:ind w:right="225" w:firstLine="480"/>
            </w:pPr>
            <w:r>
              <w:rPr>
                <w:rFonts w:ascii="仿宋_GB2312" w:hAnsi="仿宋_GB2312" w:cs="仿宋_GB2312" w:eastAsia="仿宋_GB2312"/>
                <w:sz w:val="24"/>
                <w:color w:val="000000"/>
              </w:rPr>
              <w:t>全面贯彻落实</w:t>
            </w:r>
            <w:r>
              <w:rPr>
                <w:rFonts w:ascii="仿宋_GB2312" w:hAnsi="仿宋_GB2312" w:cs="仿宋_GB2312" w:eastAsia="仿宋_GB2312"/>
                <w:sz w:val="24"/>
                <w:color w:val="000000"/>
              </w:rPr>
              <w:t>“安全第一、预防为主、综合治理”的安全生产方针，开展安全培训，提高项目组外业核查作业过程中突发险情、事故快速妥善处理和应急救援能力，最大限度减少事故损失，促进项目服务工作顺利开展。</w:t>
            </w:r>
          </w:p>
          <w:p>
            <w:pPr>
              <w:pStyle w:val="null3"/>
              <w:ind w:right="225" w:firstLine="480"/>
            </w:pPr>
            <w:r>
              <w:rPr>
                <w:rFonts w:ascii="仿宋_GB2312" w:hAnsi="仿宋_GB2312" w:cs="仿宋_GB2312" w:eastAsia="仿宋_GB2312"/>
                <w:sz w:val="24"/>
                <w:color w:val="000000"/>
              </w:rPr>
              <w:t>四、成果要求</w:t>
            </w:r>
          </w:p>
          <w:p>
            <w:pPr>
              <w:pStyle w:val="null3"/>
              <w:ind w:right="225" w:firstLine="480"/>
            </w:pPr>
            <w:r>
              <w:rPr>
                <w:rFonts w:ascii="仿宋_GB2312" w:hAnsi="仿宋_GB2312" w:cs="仿宋_GB2312" w:eastAsia="仿宋_GB2312"/>
                <w:sz w:val="24"/>
                <w:color w:val="000000"/>
              </w:rPr>
              <w:t>1.方案指南类</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1）2026年度陕西省督察技术服务项目实施方案。</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2）2026年度陕西省督察技术服务外业核查安全规定。</w:t>
            </w:r>
          </w:p>
          <w:p>
            <w:pPr>
              <w:pStyle w:val="null3"/>
              <w:ind w:right="225" w:firstLine="480"/>
            </w:pPr>
            <w:r>
              <w:rPr>
                <w:rFonts w:ascii="仿宋_GB2312" w:hAnsi="仿宋_GB2312" w:cs="仿宋_GB2312" w:eastAsia="仿宋_GB2312"/>
                <w:sz w:val="24"/>
                <w:color w:val="000000"/>
              </w:rPr>
              <w:t>2.常规成果</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1）问题核查台账，建立督察问题整改台账，并及时更新相关关数据信息；</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2）督察问题矢量数据库，建立督察问题矢量数据库；</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3）督察问题图斑套合，对每个督察问题进行矢量数据进行全面、准确套合；</w:t>
            </w:r>
          </w:p>
          <w:p>
            <w:pPr>
              <w:pStyle w:val="null3"/>
              <w:ind w:right="225"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4）督察问题相关数据资料整理，主要包括月度、季度问题核查数据资料、内业研判资料、外业核查意见、问题整改验收技术复核、“一点一档”电子档案、全过程数据归集资料等。</w:t>
            </w:r>
          </w:p>
          <w:p>
            <w:pPr>
              <w:pStyle w:val="null3"/>
              <w:ind w:right="225" w:firstLine="480"/>
            </w:pPr>
            <w:r>
              <w:rPr>
                <w:rFonts w:ascii="仿宋_GB2312" w:hAnsi="仿宋_GB2312" w:cs="仿宋_GB2312" w:eastAsia="仿宋_GB2312"/>
                <w:sz w:val="24"/>
                <w:color w:val="000000"/>
              </w:rPr>
              <w:t>3.项目综述材料</w:t>
            </w:r>
          </w:p>
          <w:p>
            <w:pPr>
              <w:pStyle w:val="null3"/>
              <w:ind w:right="225" w:firstLine="480"/>
            </w:pPr>
            <w:r>
              <w:rPr>
                <w:rFonts w:ascii="仿宋_GB2312" w:hAnsi="仿宋_GB2312" w:cs="仿宋_GB2312" w:eastAsia="仿宋_GB2312"/>
                <w:sz w:val="24"/>
                <w:color w:val="000000"/>
              </w:rPr>
              <w:t>年度陕西省督察技术服务项目工作总结。</w:t>
            </w:r>
          </w:p>
          <w:p>
            <w:pPr>
              <w:pStyle w:val="null3"/>
              <w:ind w:right="225" w:firstLine="482"/>
            </w:pPr>
            <w:r>
              <w:rPr>
                <w:rFonts w:ascii="仿宋_GB2312" w:hAnsi="仿宋_GB2312" w:cs="仿宋_GB2312" w:eastAsia="仿宋_GB2312"/>
                <w:sz w:val="24"/>
                <w:b/>
                <w:color w:val="000000"/>
              </w:rPr>
              <w:t>（五）其他要求</w:t>
            </w:r>
          </w:p>
          <w:p>
            <w:pPr>
              <w:pStyle w:val="null3"/>
              <w:ind w:right="225" w:firstLine="480"/>
            </w:pPr>
            <w:r>
              <w:rPr>
                <w:rFonts w:ascii="仿宋_GB2312" w:hAnsi="仿宋_GB2312" w:cs="仿宋_GB2312" w:eastAsia="仿宋_GB2312"/>
                <w:sz w:val="24"/>
                <w:color w:val="000000"/>
              </w:rPr>
              <w:t>完成省自然资源厅交办的其他相关任务，并依据各项任务要求提交成果资料。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配备项目负责人、技术负责人、内业技术人员、外业核查人员、质量/保密管理员。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符合国家或行业相关标准，满足采购人要求。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自合同签订之日起3年。（合同一年一签，每年合同期满后由采购方组织验收，若年度技术服务考核验收不合格，可按合同约定条款取消技术服务资格，若连续考核验收合格，总服务期限不超3年。）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已缴纳的至少一个月的纳税证明或完税证明（个人所得税、印花税除外，至少提供一种），纳税证明或完税证明上应有代收机构或税务机关的公章或业务专用章，依法免税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供应商应具有乙级及以上测绘资质证书（包含摄影测量与遥感、工程测量、地理信息系统工程）</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响应文件封面 资格证明文件 中小企业声明函 残疾人福利性单位声明函 服务方案 标的清单 报价表 技术和商务偏离表 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资格证明文件 服务方案 技术和商务偏离表 拒绝政府采购领域商业贿赂承诺书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评审内容：提出针对于本项目的服务方案，方案内容包含：①服务目标及计划安排；②服务内容及措施；③服务重难点分析及解决措施；④应急预案。 评审标准：以上内容合理完整的计20分；方案有缺漏项每项扣5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服务流程</w:t>
            </w:r>
          </w:p>
        </w:tc>
        <w:tc>
          <w:tcPr>
            <w:tcW w:type="dxa" w:w="2492"/>
          </w:tcPr>
          <w:p>
            <w:pPr>
              <w:pStyle w:val="null3"/>
            </w:pPr>
            <w:r>
              <w:rPr>
                <w:rFonts w:ascii="仿宋_GB2312" w:hAnsi="仿宋_GB2312" w:cs="仿宋_GB2312" w:eastAsia="仿宋_GB2312"/>
              </w:rPr>
              <w:t>评审内容：①内业审核流程；②实地核查流程；③系统填报流程；④专项督查流程；⑤其他工作流程。 评审标准：以上内容合理完整的计20分；方案有缺漏项每项扣4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项目投入人员中，每提供一名中级及以上测绘专业技术职称人员得2分，最多得10分。 注：同一人员具有多个证书只按照一人计分，需提供人员相关证书、身份证复印件等，不提供不得分。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项目团队稳定及能力承诺</w:t>
            </w:r>
          </w:p>
        </w:tc>
        <w:tc>
          <w:tcPr>
            <w:tcW w:type="dxa" w:w="2492"/>
          </w:tcPr>
          <w:p>
            <w:pPr>
              <w:pStyle w:val="null3"/>
            </w:pPr>
            <w:r>
              <w:rPr>
                <w:rFonts w:ascii="仿宋_GB2312" w:hAnsi="仿宋_GB2312" w:cs="仿宋_GB2312" w:eastAsia="仿宋_GB2312"/>
              </w:rPr>
              <w:t>（1）承诺中标后，非因不可抗力原因，不得更换响应文件中项目团队人员，得2分，未提供不得分。 （2）承诺如遇到不可抗力确需更换人员时，更换人员的资历不低于原人员，且按程序报采购人书面同意后方可更换，得2分，未提供不得分。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评审内容：针对本项目提出合理化建议。 评审标准：每提出一条合理化建议得3分，最多得6分。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评审内容：①服务质量承诺；②服务响应承诺；③服务进度承诺；④保密承诺。 评审标准：方案包含以上四个完整章节得20分；缺一个章节扣5分，扣完为止。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2023年1月1日起至今，供应商有类似项目业绩，提供合同复印件加盖供应商公章（原件备查）。每提供一个有效业绩得5分，满分10分。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