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版本号：SCZE2026-ZB-2188-00120260810001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曲江新区五典坡安置小区（城中村改造）外配套基础设施工程文物发掘劳务配合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SCZE2026-ZB-2188-001</w:t>
      </w:r>
      <w:r>
        <w:br/>
      </w:r>
      <w:r>
        <w:br/>
      </w:r>
      <w:r>
        <w:br/>
      </w:r>
    </w:p>
    <w:p>
      <w:pPr>
        <w:pStyle w:val="null3"/>
        <w:jc w:val="center"/>
        <w:outlineLvl w:val="2"/>
      </w:pPr>
      <w:r>
        <w:rPr>
          <w:rFonts w:ascii="仿宋_GB2312" w:hAnsi="仿宋_GB2312" w:cs="仿宋_GB2312" w:eastAsia="仿宋_GB2312"/>
          <w:sz w:val="28"/>
          <w:b/>
        </w:rPr>
        <w:t>西安曲江新区公共项目建设管理中心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西安曲江新区公共项目建设管理中心</w:t>
      </w:r>
      <w:r>
        <w:rPr>
          <w:rFonts w:ascii="仿宋_GB2312" w:hAnsi="仿宋_GB2312" w:cs="仿宋_GB2312" w:eastAsia="仿宋_GB2312"/>
        </w:rPr>
        <w:t>委托，拟对</w:t>
      </w:r>
      <w:r>
        <w:rPr>
          <w:rFonts w:ascii="仿宋_GB2312" w:hAnsi="仿宋_GB2312" w:cs="仿宋_GB2312" w:eastAsia="仿宋_GB2312"/>
        </w:rPr>
        <w:t>曲江新区五典坡安置小区（城中村改造）外配套基础设施工程文物发掘劳务配合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SCZE2026-ZB-2188-001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曲江新区五典坡安置小区（城中村改造）外配套基础设施工程文物发掘劳务配合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项目位于五典坡安置小区以南，道路西起公园南路、东至春台路（26号路）。本次招标范围为配合考古发掘技术单位开展考古发掘民工劳务配合工作。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采购包1（曲江新区五典坡安置小区（城中村改造）外配套基础设施工程文物发掘劳务配合）：属于专门面向中小企业采购。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1、授权委托书或法⼈⾝份证明：法定代表⼈直接参加投标时须出具法定代表⼈证明书（附法定代表⼈⾝份证复印件）以及法定代表⼈在开标⽇期前六个⽉内任意 ⼀个⽉的社保缴纳证明(须赋可查询的验证编号或验证⼆维码且开标⽇期在验证有效期内)；被授权⼈参加投标时须提供法定代表⼈授权委 托书（附法定代表⼈、被授权⼈⾝份证复印件）及被授权⼈在开标⽇期前六个⽉内任意⼀个⽉的社保缴纳证明(须赋可查询的验证编号或验 证⼆维码且开标⽇期在验证有效期内)。</w:t>
      </w:r>
    </w:p>
    <w:p>
      <w:pPr>
        <w:pStyle w:val="null3"/>
      </w:pPr>
      <w:r>
        <w:rPr>
          <w:rFonts w:ascii="仿宋_GB2312" w:hAnsi="仿宋_GB2312" w:cs="仿宋_GB2312" w:eastAsia="仿宋_GB2312"/>
        </w:rPr>
        <w:t>2、“信⽤中国”⽹站和中国政府采购⽹（wwwccgpgovcn）查询记录：供应商未被列⼊“信⽤中国”⽹站(wwwcreditch inagovcn)“失信被执⾏⼈”、“重⼤税收违法失 信主体”记录名单；不处于中国政府采购⽹(ww wccgpgovcn)“政府采购严重违法失信⾏为信 息记录”中。（以代理机构于开启投标⽂件当天 进⾏资格审查时在“信⽤中国”⽹站（wwwcredi tchinagovcn）及中国政府采购⽹ (wwwccgpgovcn)查询结果为准）</w:t>
      </w:r>
    </w:p>
    <w:p>
      <w:pPr>
        <w:pStyle w:val="null3"/>
      </w:pPr>
      <w:r>
        <w:rPr>
          <w:rFonts w:ascii="仿宋_GB2312" w:hAnsi="仿宋_GB2312" w:cs="仿宋_GB2312" w:eastAsia="仿宋_GB2312"/>
        </w:rPr>
        <w:t>3、其他情形： 单位负责⼈为同⼀⼈或者存在直接控股、管理关系的不同供应商，不得参加同⼀合同项下的政府采购活动；为本项⽬提供整体设计、规范编制或者项⽬管理、监理、检测等服务的投标⼈，不得再参加该采购项⽬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西安雁塔区杜陵邑南路6号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豆工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18530761601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采购包1：1,122,800.00元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代理服务费收费标准：招标代理服务费由成交供应商承担，招标代理服务费的收取参照国家计委颁布的《招标代理服务收费管理暂行办法》（计价格[2002]1980号）和（发改办价格[2003]857号）下浮20%收取。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西安曲江新区公共项目建设管理中心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西安曲江新区公共项目建设管理中心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地址：西安市高新区锦业一路1号都市之门C座9层综合办公室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项目位于五典坡安置小区以南，道路西起公园南路、东至春台路（26号路）。本次招标范围为配合考古发掘技术单位开展考古发掘民工劳务配合工作。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1,122,800.00</w:t>
      </w:r>
    </w:p>
    <w:p>
      <w:pPr>
        <w:pStyle w:val="null3"/>
      </w:pPr>
      <w:r>
        <w:rPr>
          <w:rFonts w:ascii="仿宋_GB2312" w:hAnsi="仿宋_GB2312" w:cs="仿宋_GB2312" w:eastAsia="仿宋_GB2312"/>
        </w:rPr>
        <w:t>采购包最高限价（元）: 1,122,800.00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曲江新区五典坡安置小区（城中村改造）外配套基础设施工程文物发掘劳务配合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1,122,800.00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标的名称：曲江新区五典坡安置小区（城中村改造）外配套基础设施工程文物发掘劳务配合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.采购项目概况</w:t>
            </w:r>
          </w:p>
          <w:p>
            <w:pPr>
              <w:pStyle w:val="null3"/>
            </w:pPr>
            <w:r>
              <w:rPr>
                <w:rFonts w:ascii="仿宋_GB2312" w:hAnsi="仿宋_GB2312" w:cs="仿宋_GB2312" w:eastAsia="仿宋_GB2312"/>
              </w:rPr>
              <w:t>本项目</w:t>
            </w:r>
            <w:r>
              <w:rPr>
                <w:rFonts w:ascii="仿宋_GB2312" w:hAnsi="仿宋_GB2312" w:cs="仿宋_GB2312" w:eastAsia="仿宋_GB2312"/>
              </w:rPr>
              <w:t>位于</w:t>
            </w:r>
            <w:r>
              <w:rPr>
                <w:rFonts w:ascii="仿宋_GB2312" w:hAnsi="仿宋_GB2312" w:cs="仿宋_GB2312" w:eastAsia="仿宋_GB2312"/>
              </w:rPr>
              <w:t>五典坡安置小区以南，</w:t>
            </w:r>
            <w:r>
              <w:rPr>
                <w:rFonts w:ascii="仿宋_GB2312" w:hAnsi="仿宋_GB2312" w:cs="仿宋_GB2312" w:eastAsia="仿宋_GB2312"/>
              </w:rPr>
              <w:t>道路西起公园南路、东至春台路（</w:t>
            </w:r>
            <w:r>
              <w:rPr>
                <w:rFonts w:ascii="仿宋_GB2312" w:hAnsi="仿宋_GB2312" w:cs="仿宋_GB2312" w:eastAsia="仿宋_GB2312"/>
              </w:rPr>
              <w:t>26号路）</w:t>
            </w:r>
            <w:r>
              <w:rPr>
                <w:rFonts w:ascii="仿宋_GB2312" w:hAnsi="仿宋_GB2312" w:cs="仿宋_GB2312" w:eastAsia="仿宋_GB2312"/>
              </w:rPr>
              <w:t xml:space="preserve"> </w:t>
            </w:r>
            <w:r>
              <w:rPr>
                <w:rFonts w:ascii="仿宋_GB2312" w:hAnsi="仿宋_GB2312" w:cs="仿宋_GB2312" w:eastAsia="仿宋_GB2312"/>
              </w:rPr>
              <w:t>；本次招标范围为配合考古发掘技术单位开展考古发掘民工劳务配合工作。</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1、供应商应根据国家和省、市有关法律法规及招标人的有关规定，配合考古发掘单位按时完成民工土方工作。</w:t>
            </w:r>
          </w:p>
          <w:p>
            <w:pPr>
              <w:pStyle w:val="null3"/>
            </w:pPr>
            <w:r>
              <w:rPr>
                <w:rFonts w:ascii="仿宋_GB2312" w:hAnsi="仿宋_GB2312" w:cs="仿宋_GB2312" w:eastAsia="仿宋_GB2312"/>
              </w:rPr>
              <w:t>2、供应商的服务方案符合相关要求并切实可行。</w:t>
            </w:r>
          </w:p>
          <w:p>
            <w:pPr>
              <w:pStyle w:val="null3"/>
            </w:pPr>
            <w:r>
              <w:rPr>
                <w:rFonts w:ascii="仿宋_GB2312" w:hAnsi="仿宋_GB2312" w:cs="仿宋_GB2312" w:eastAsia="仿宋_GB2312"/>
              </w:rPr>
              <w:t>3、供应商应拥有足够的人力、财力、物力和专业技术能力等资源保证按时按质按量完成委托业务。</w:t>
            </w:r>
          </w:p>
          <w:p>
            <w:pPr>
              <w:pStyle w:val="null3"/>
            </w:pPr>
            <w:r>
              <w:rPr>
                <w:rFonts w:ascii="仿宋_GB2312" w:hAnsi="仿宋_GB2312" w:cs="仿宋_GB2312" w:eastAsia="仿宋_GB2312"/>
              </w:rPr>
              <w:t>4、供应商应对自身安全负责，并给项目人员提供相应的保险保障。</w:t>
            </w:r>
          </w:p>
          <w:p>
            <w:pPr>
              <w:pStyle w:val="null3"/>
            </w:pPr>
            <w:r>
              <w:rPr>
                <w:rFonts w:ascii="仿宋_GB2312" w:hAnsi="仿宋_GB2312" w:cs="仿宋_GB2312" w:eastAsia="仿宋_GB2312"/>
              </w:rPr>
              <w:t>5、供应商应有健全的组织机构和内部管理制度，有完善的质量保证体系和安全管理制度。定期对人员进行相关文物、考古知识的培训。</w:t>
            </w:r>
          </w:p>
          <w:p>
            <w:pPr>
              <w:pStyle w:val="null3"/>
            </w:pPr>
            <w:r>
              <w:rPr>
                <w:rFonts w:ascii="仿宋_GB2312" w:hAnsi="仿宋_GB2312" w:cs="仿宋_GB2312" w:eastAsia="仿宋_GB2312"/>
              </w:rPr>
              <w:t>6、如被确认中标，则供应商于投标文件中承诺配备的人员必须配备到位，若需更换人员应先征得招标人同意，且替换的人员不低于被替换的人员的资质等级及工作能力。</w:t>
            </w:r>
          </w:p>
          <w:p>
            <w:pPr>
              <w:pStyle w:val="null3"/>
            </w:pPr>
            <w:r>
              <w:rPr>
                <w:rFonts w:ascii="仿宋_GB2312" w:hAnsi="仿宋_GB2312" w:cs="仿宋_GB2312" w:eastAsia="仿宋_GB2312"/>
              </w:rPr>
              <w:t>7、成交单位应独立完成工作任务，不得以任何形式将工作任务再委托其他个人和机构。</w:t>
            </w:r>
          </w:p>
          <w:p>
            <w:pPr>
              <w:pStyle w:val="null3"/>
            </w:pPr>
            <w:r>
              <w:rPr>
                <w:rFonts w:ascii="仿宋_GB2312" w:hAnsi="仿宋_GB2312" w:cs="仿宋_GB2312" w:eastAsia="仿宋_GB2312"/>
              </w:rPr>
              <w:t>三、安全要求：</w:t>
            </w:r>
          </w:p>
          <w:p>
            <w:pPr>
              <w:pStyle w:val="null3"/>
            </w:pPr>
            <w:r>
              <w:rPr>
                <w:rFonts w:ascii="仿宋_GB2312" w:hAnsi="仿宋_GB2312" w:cs="仿宋_GB2312" w:eastAsia="仿宋_GB2312"/>
              </w:rPr>
              <w:t xml:space="preserve">1、供应商应对自身安全负责，要遵守国家的相关安全规定。供应商应严格执行《考古工地安全协议》的相关要求，遵守考古工地的安全规定，确保考古工地的施工安全、人员安全和文物安全。  </w:t>
            </w:r>
          </w:p>
          <w:p>
            <w:pPr>
              <w:pStyle w:val="null3"/>
            </w:pPr>
            <w:r>
              <w:rPr>
                <w:rFonts w:ascii="仿宋_GB2312" w:hAnsi="仿宋_GB2312" w:cs="仿宋_GB2312" w:eastAsia="仿宋_GB2312"/>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pPr>
            <w:r>
              <w:rPr>
                <w:rFonts w:ascii="仿宋_GB2312" w:hAnsi="仿宋_GB2312" w:cs="仿宋_GB2312" w:eastAsia="仿宋_GB2312"/>
              </w:rPr>
              <w:t>3、供应商在考古发掘工作中对发现的古遗址、古墓葬等地下文物古迹负有看管保护的责任，并对相关信息负有保密的责任。</w:t>
            </w:r>
          </w:p>
          <w:p>
            <w:pPr>
              <w:pStyle w:val="null3"/>
            </w:pPr>
            <w:r>
              <w:rPr>
                <w:rFonts w:ascii="仿宋_GB2312" w:hAnsi="仿宋_GB2312" w:cs="仿宋_GB2312" w:eastAsia="仿宋_GB2312"/>
              </w:rPr>
              <w:t>4、供应商考古驻地的所有工作人员、财物、设备、设施以及暂存文物标本的文物库房等的安全保卫工作由供应商全权负责。驻地暂存文物和标本的临时文物库房，必须符合有关存放文物的安全要求。</w:t>
            </w:r>
          </w:p>
          <w:p>
            <w:pPr>
              <w:pStyle w:val="null3"/>
            </w:pPr>
            <w:r>
              <w:rPr>
                <w:rFonts w:ascii="仿宋_GB2312" w:hAnsi="仿宋_GB2312" w:cs="仿宋_GB2312" w:eastAsia="仿宋_GB2312"/>
              </w:rPr>
              <w:t>四</w:t>
            </w:r>
            <w:r>
              <w:rPr>
                <w:rFonts w:ascii="仿宋_GB2312" w:hAnsi="仿宋_GB2312" w:cs="仿宋_GB2312" w:eastAsia="仿宋_GB2312"/>
              </w:rPr>
              <w:t>、单价限价</w:t>
            </w:r>
          </w:p>
          <w:p>
            <w:pPr>
              <w:pStyle w:val="null3"/>
            </w:pPr>
            <w:r>
              <w:rPr>
                <w:rFonts w:ascii="仿宋_GB2312" w:hAnsi="仿宋_GB2312" w:cs="仿宋_GB2312" w:eastAsia="仿宋_GB2312"/>
              </w:rPr>
              <w:t>1.取费依据：根据《西安市基本建设工程考古工作规范(试行)》的通知(市文物发[2025]224号)、《西安市基本建设考古调查、勘探、发掘经费预算定额管理办法(试行)》。</w:t>
            </w:r>
          </w:p>
          <w:p>
            <w:pPr>
              <w:pStyle w:val="null3"/>
            </w:pPr>
            <w:r>
              <w:rPr>
                <w:rFonts w:ascii="仿宋_GB2312" w:hAnsi="仿宋_GB2312" w:cs="仿宋_GB2312" w:eastAsia="仿宋_GB2312"/>
              </w:rPr>
              <w:t>2.考古发掘劳务费最高限价参考西安市基本建设考古调查、勘探、发掘经费预算定额管理办法（试行）单价执行</w:t>
            </w:r>
            <w:r>
              <w:rPr>
                <w:rFonts w:ascii="仿宋_GB2312" w:hAnsi="仿宋_GB2312" w:cs="仿宋_GB2312" w:eastAsia="仿宋_GB2312"/>
              </w:rPr>
              <w:t>：</w:t>
            </w:r>
            <w:r>
              <w:rPr>
                <w:rFonts w:ascii="仿宋_GB2312" w:hAnsi="仿宋_GB2312" w:cs="仿宋_GB2312" w:eastAsia="仿宋_GB2312"/>
              </w:rPr>
              <w:t>劳务费</w:t>
            </w:r>
            <w:r>
              <w:rPr>
                <w:rFonts w:ascii="仿宋_GB2312" w:hAnsi="仿宋_GB2312" w:cs="仿宋_GB2312" w:eastAsia="仿宋_GB2312"/>
              </w:rPr>
              <w:t>综合单价限价：</w:t>
            </w:r>
            <w:r>
              <w:rPr>
                <w:rFonts w:ascii="仿宋_GB2312" w:hAnsi="仿宋_GB2312" w:cs="仿宋_GB2312" w:eastAsia="仿宋_GB2312"/>
              </w:rPr>
              <w:t>511元/平方米。</w:t>
            </w:r>
          </w:p>
          <w:p>
            <w:pPr>
              <w:pStyle w:val="null3"/>
              <w:numPr>
                <w:ilvl w:val="0"/>
                <w:numId w:val="1"/>
              </w:numPr>
            </w:pPr>
            <w:r>
              <w:rPr>
                <w:rFonts w:ascii="仿宋_GB2312" w:hAnsi="仿宋_GB2312" w:cs="仿宋_GB2312" w:eastAsia="仿宋_GB2312"/>
                <w:sz w:val="21"/>
                <w:b/>
              </w:rPr>
              <w:t>勘探情况</w:t>
            </w:r>
          </w:p>
          <w:tbl>
            <w:tblPr>
              <w:tblInd w:type="dxa" w:w="225"/>
              <w:tblBorders>
                <w:top w:val="none" w:color="000000" w:sz="4"/>
                <w:left w:val="none" w:color="000000" w:sz="4"/>
                <w:bottom w:val="none" w:color="000000" w:sz="4"/>
                <w:right w:val="none" w:color="000000" w:sz="4"/>
                <w:insideH w:val="none"/>
                <w:insideV w:val="none"/>
              </w:tblBorders>
            </w:tblPr>
            <w:tblGrid>
              <w:gridCol w:w="138"/>
              <w:gridCol w:w="187"/>
              <w:gridCol w:w="339"/>
              <w:gridCol w:w="130"/>
              <w:gridCol w:w="130"/>
              <w:gridCol w:w="130"/>
              <w:gridCol w:w="130"/>
              <w:gridCol w:w="131"/>
              <w:gridCol w:w="130"/>
              <w:gridCol w:w="167"/>
              <w:gridCol w:w="130"/>
              <w:gridCol w:w="207"/>
              <w:gridCol w:w="170"/>
              <w:gridCol w:w="227"/>
              <w:gridCol w:w="204"/>
            </w:tblGrid>
            <w:tr>
              <w:tc>
                <w:tcPr>
                  <w:tcW w:type="dxa" w:w="13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编号</w:t>
                  </w:r>
                </w:p>
              </w:tc>
              <w:tc>
                <w:tcPr>
                  <w:tcW w:type="dxa" w:w="1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名称</w:t>
                  </w:r>
                </w:p>
              </w:tc>
              <w:tc>
                <w:tcPr>
                  <w:tcW w:type="dxa" w:w="3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形制</w:t>
                  </w:r>
                </w:p>
              </w:tc>
              <w:tc>
                <w:tcPr>
                  <w:tcW w:type="dxa" w:w="651"/>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墓道</w:t>
                  </w:r>
                </w:p>
              </w:tc>
              <w:tc>
                <w:tcPr>
                  <w:tcW w:type="dxa" w:w="1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系数</w:t>
                  </w:r>
                </w:p>
              </w:tc>
              <w:tc>
                <w:tcPr>
                  <w:tcW w:type="dxa" w:w="67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遗迹</w:t>
                  </w:r>
                </w:p>
              </w:tc>
              <w:tc>
                <w:tcPr>
                  <w:tcW w:type="dxa" w:w="2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总面积</w:t>
                  </w:r>
                  <w:r>
                    <w:rPr>
                      <w:rFonts w:ascii="仿宋_GB2312" w:hAnsi="仿宋_GB2312" w:cs="仿宋_GB2312" w:eastAsia="仿宋_GB2312"/>
                      <w:sz w:val="16"/>
                      <w:b/>
                      <w:color w:val="000000"/>
                    </w:rPr>
                    <w:t xml:space="preserve">  </w:t>
                  </w:r>
                  <w:r>
                    <w:rPr>
                      <w:rFonts w:ascii="仿宋_GB2312" w:hAnsi="仿宋_GB2312" w:cs="仿宋_GB2312" w:eastAsia="仿宋_GB2312"/>
                      <w:sz w:val="16"/>
                      <w:b/>
                      <w:color w:val="000000"/>
                    </w:rPr>
                    <w:t>（平方米）</w:t>
                  </w:r>
                </w:p>
              </w:tc>
              <w:tc>
                <w:tcPr>
                  <w:tcW w:type="dxa" w:w="2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系数</w:t>
                  </w:r>
                </w:p>
              </w:tc>
            </w:tr>
            <w:tr>
              <w:tc>
                <w:tcPr>
                  <w:tcW w:type="dxa" w:w="138"/>
                  <w:vMerge/>
                  <w:tcBorders>
                    <w:top w:val="single" w:color="000000" w:sz="4"/>
                    <w:left w:val="single" w:color="000000" w:sz="4"/>
                    <w:bottom w:val="single" w:color="000000" w:sz="4"/>
                    <w:right w:val="single" w:color="000000" w:sz="4"/>
                  </w:tcBorders>
                </w:tcPr>
                <w:p/>
              </w:tc>
              <w:tc>
                <w:tcPr>
                  <w:tcW w:type="dxa" w:w="187"/>
                  <w:vMerge/>
                  <w:tcBorders>
                    <w:top w:val="single" w:color="000000" w:sz="4"/>
                    <w:left w:val="none" w:color="000000" w:sz="4"/>
                    <w:bottom w:val="single" w:color="000000" w:sz="4"/>
                    <w:right w:val="single" w:color="000000" w:sz="4"/>
                  </w:tcBorders>
                </w:tcPr>
                <w:p/>
              </w:tc>
              <w:tc>
                <w:tcPr>
                  <w:tcW w:type="dxa" w:w="339"/>
                  <w:vMerge/>
                  <w:tcBorders>
                    <w:top w:val="single" w:color="000000" w:sz="4"/>
                    <w:left w:val="none" w:color="000000" w:sz="4"/>
                    <w:bottom w:val="single" w:color="000000" w:sz="4"/>
                    <w:right w:val="single" w:color="000000" w:sz="4"/>
                  </w:tcBorders>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长（米）</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宽（米）</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深（米）</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平均深度</w:t>
                  </w:r>
                  <w:r>
                    <w:br/>
                  </w:r>
                  <w:r>
                    <w:rPr>
                      <w:rFonts w:ascii="仿宋_GB2312" w:hAnsi="仿宋_GB2312" w:cs="仿宋_GB2312" w:eastAsia="仿宋_GB2312"/>
                      <w:sz w:val="16"/>
                      <w:b/>
                      <w:color w:val="000000"/>
                    </w:rPr>
                    <w:t>（米）</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面积</w:t>
                  </w:r>
                  <w:r>
                    <w:rPr>
                      <w:rFonts w:ascii="仿宋_GB2312" w:hAnsi="仿宋_GB2312" w:cs="仿宋_GB2312" w:eastAsia="仿宋_GB2312"/>
                      <w:sz w:val="16"/>
                      <w:b/>
                      <w:color w:val="000000"/>
                    </w:rPr>
                    <w:t xml:space="preserve">    </w:t>
                  </w:r>
                  <w:r>
                    <w:rPr>
                      <w:rFonts w:ascii="仿宋_GB2312" w:hAnsi="仿宋_GB2312" w:cs="仿宋_GB2312" w:eastAsia="仿宋_GB2312"/>
                      <w:sz w:val="16"/>
                      <w:b/>
                      <w:color w:val="000000"/>
                    </w:rPr>
                    <w:t>（平方米）</w:t>
                  </w:r>
                </w:p>
              </w:tc>
              <w:tc>
                <w:tcPr>
                  <w:tcW w:type="dxa" w:w="130"/>
                  <w:vMerge/>
                  <w:tcBorders>
                    <w:top w:val="single" w:color="000000" w:sz="4"/>
                    <w:left w:val="none" w:color="000000" w:sz="4"/>
                    <w:bottom w:val="single" w:color="000000" w:sz="4"/>
                    <w:right w:val="single" w:color="000000" w:sz="4"/>
                  </w:tcBorders>
                </w:tcPr>
                <w:p/>
              </w:tc>
              <w:tc>
                <w:tcPr>
                  <w:tcW w:type="dxa" w:w="1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长（米）</w:t>
                  </w:r>
                </w:p>
              </w:tc>
              <w:tc>
                <w:tcPr>
                  <w:tcW w:type="dxa" w:w="1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宽（米）</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深度（米）</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面积（平方米）</w:t>
                  </w:r>
                </w:p>
              </w:tc>
              <w:tc>
                <w:tcPr>
                  <w:tcW w:type="dxa" w:w="227"/>
                  <w:vMerge/>
                  <w:tcBorders>
                    <w:top w:val="single" w:color="000000" w:sz="4"/>
                    <w:left w:val="none" w:color="000000" w:sz="4"/>
                    <w:bottom w:val="single" w:color="000000" w:sz="4"/>
                    <w:right w:val="single" w:color="000000" w:sz="4"/>
                  </w:tcBorders>
                </w:tcPr>
                <w:p/>
              </w:tc>
              <w:tc>
                <w:tcPr>
                  <w:tcW w:type="dxa" w:w="204"/>
                  <w:vMerge/>
                  <w:tcBorders>
                    <w:top w:val="single" w:color="000000" w:sz="4"/>
                    <w:left w:val="none" w:color="000000" w:sz="4"/>
                    <w:bottom w:val="single" w:color="000000" w:sz="4"/>
                    <w:right w:val="single" w:color="000000" w:sz="4"/>
                  </w:tcBorders>
                </w:tcP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2.21</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3.78</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4.59</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6.99</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12.07</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7.77</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2.97</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2.97</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2.66</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3.06</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4.59</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3.06</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2.07</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3.12</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M56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M259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竖穴墓道侧室墓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M265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0.90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M339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2.64</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3.64</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5.94</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7.03</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M349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M359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3.38</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2.99</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8.99</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3.08</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M369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5.61</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12.61</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M379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3.08</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7.28</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7.86</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M389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M399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M409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竖穴方坑墓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M419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2.66</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M423</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M425</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4.05</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M429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8.75</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14.75</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M430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古墓葬</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竖穴墓道土洞墓</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64.40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64.40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G7</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110.70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110.70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G10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G11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0.70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G12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沟</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长条形</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w:t>
                  </w:r>
                </w:p>
              </w:tc>
              <w:tc>
                <w:tcPr>
                  <w:tcW w:type="dxa" w:w="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24.00</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24.00</w:t>
                  </w:r>
                </w:p>
              </w:tc>
              <w:tc>
                <w:tcPr>
                  <w:tcW w:type="dxa" w:w="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服务内容后，向甲方提出验收申请，甲方接到乙方验收申请后组织验收（必要时可聘请相应专家或委托相应部门验收）。参与验收的供应商或者第三方机构的意见作为验收书的参考资料一并存档。 2、最终验收：最终验收结果作为付款依据，乙方填写验收单，并向甲方提交实施过程中的所有资料，以便甲方日后管理和维护。 3、验收依据： 3.1合同文本、合同附件、竞争性磋商文件、成交供应商的响应文件。 3.2国内相应的标准、规范。 3.3其他适用的依据。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预付款，待发掘工作启动并进场 ，达到付款条件起7个工作日内，支付合同总金额的20.0%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进度款，待完成考古发掘配合工作后并经甲方确认后，达到付款条件起30个工作日内，支付合同总金额的60.0%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进度款，待结算审核生效、办理结算付款手续后，付清其余款项。 每次付款前，乙方须按甲方要求提供其认可的增值税普通发票、收款收据及完税凭证，达到付款条件起30个工作日内，支付合同总金额的20.0%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授权委托书或法⼈⾝份证明</w:t>
            </w:r>
          </w:p>
        </w:tc>
        <w:tc>
          <w:tcPr>
            <w:tcW w:type="dxa" w:w="3322"/>
          </w:tcPr>
          <w:p>
            <w:pPr>
              <w:pStyle w:val="null3"/>
            </w:pPr>
            <w:r>
              <w:rPr>
                <w:rFonts w:ascii="仿宋_GB2312" w:hAnsi="仿宋_GB2312" w:cs="仿宋_GB2312" w:eastAsia="仿宋_GB2312"/>
              </w:rPr>
              <w:t>法定代表⼈直接参加投标时须出具法定代表⼈证明书（附法定代表⼈⾝份证复印件）以及法定代表⼈在开标⽇期前六个⽉内任意 ⼀个⽉的社保缴纳证明(须赋可查询的验证编号或验证⼆维码且开标⽇期在验证有效期内)；被授权⼈参加投标时须提供法定代表⼈授权委 托书（附法定代表⼈、被授权⼈⾝份证复印件）及被授权⼈在开标⽇期前六个⽉内任意⼀个⽉的社保缴纳证明(须赋可查询的验证编号或验 证⼆维码且开标⽇期在验证有效期内)。</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“信⽤中国”⽹站和中国政府采购⽹（wwwccgpgovcn）查询记录</w:t>
            </w:r>
          </w:p>
        </w:tc>
        <w:tc>
          <w:tcPr>
            <w:tcW w:type="dxa" w:w="3322"/>
          </w:tcPr>
          <w:p>
            <w:pPr>
              <w:pStyle w:val="null3"/>
            </w:pPr>
            <w:r>
              <w:rPr>
                <w:rFonts w:ascii="仿宋_GB2312" w:hAnsi="仿宋_GB2312" w:cs="仿宋_GB2312" w:eastAsia="仿宋_GB2312"/>
              </w:rPr>
              <w:t>供应商未被列⼊“信⽤中国”⽹站(wwwcreditch inagovcn)“失信被执⾏⼈”、“重⼤税收违法失 信主体”记录名单；不处于中国政府采购⽹(ww wccgpgovcn)“政府采购严重违法失信⾏为信 息记录”中。（以代理机构于开启投标⽂件当天 进⾏资格审查时在“信⽤中国”⽹站（wwwcredi tchinagovcn）及中国政府采购⽹ (wwwccgpgovcn)查询结果为准）</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 xml:space="preserve"> 单位负责⼈为同⼀⼈或者存在直接控股、管理关系的不同供应商，不得参加同⼀合同项下的政府采购活动；为本项⽬提供整体设计、规范编制或者项⽬管理、监理、检测等服务的投标⼈，不得再参加该采购项⽬的其他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报价唯一，且没有超过采购预算或最高限价；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投标内容满足招标文件的商务、技术等实质性要求。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一、评审内容：针对本项目提供①考古发掘土方施工方案②安全保卫服务③与考古发掘技术单位配合的民工劳务、安保、支护、土方回填及密目网覆盖等工作保障措施。 二、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一、评审内容：针对本项目提供①确保发掘质量的技术组织措施②确保安全作业及环境保护措施③文物安全保护措施。 二、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依据投标人提供的设备购置发票或设备租赁协议以及设备明细清单计分，无佐证材料不予得分。 1. 具备完整考古勘探、发掘手工工具组，满足现场清理、勘探、标本存放作业需求，得2分； 2. 配备数字化测绘及影像留存设备：同时拥有RTK定位仪、航拍无人机得2分； 3. 配齐工地扬尘治理、基坑安全防护、消防应急全套设备，满足现场安全文明施工要求，得1分。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项目管理团队配置</w:t>
            </w:r>
          </w:p>
        </w:tc>
        <w:tc>
          <w:tcPr>
            <w:tcW w:type="dxa" w:w="2492"/>
          </w:tcPr>
          <w:p>
            <w:pPr>
              <w:pStyle w:val="null3"/>
            </w:pPr>
            <w:r>
              <w:rPr>
                <w:rFonts w:ascii="仿宋_GB2312" w:hAnsi="仿宋_GB2312" w:cs="仿宋_GB2312" w:eastAsia="仿宋_GB2312"/>
              </w:rPr>
              <w:t>配备专职项目负责人、现场安全员、文物看护主管；提供社保/劳动合同证明，3人及以上专职管理人员得3分，每增加一人加一分，满分5分。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提供2022年至今的类似项目业绩，每提供一个业绩得2.5分，最高得5分。 需提供合同复印件或扫描件，合同须有参与者姓名，如合同中未有参与者姓名，可提供甲方说明或证明材料，无合同或参与者姓名的为无效合同。合同可以与供应商合同重复。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商务履约及服务保障1</w:t>
            </w:r>
          </w:p>
        </w:tc>
        <w:tc>
          <w:tcPr>
            <w:tcW w:type="dxa" w:w="2492"/>
          </w:tcPr>
          <w:p>
            <w:pPr>
              <w:pStyle w:val="null3"/>
            </w:pPr>
            <w:r>
              <w:rPr>
                <w:rFonts w:ascii="仿宋_GB2312" w:hAnsi="仿宋_GB2312" w:cs="仿宋_GB2312" w:eastAsia="仿宋_GB2312"/>
              </w:rPr>
              <w:t>1. 应急保障承诺 ①针对现场突发未知遗迹、遗存露头情况，制定停止作业、现场围挡、隔离保护、配合文保人员登记看护的完整处置流程；提供承诺得2.5分。 ② 针对暴雨、大风、极端天气，制定场地排水、覆土遮盖、遗迹防护、设备材料转移、停工值守等应急防护预案；提供方案得2.5分。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商务履约及服务保障2</w:t>
            </w:r>
          </w:p>
        </w:tc>
        <w:tc>
          <w:tcPr>
            <w:tcW w:type="dxa" w:w="2492"/>
          </w:tcPr>
          <w:p>
            <w:pPr>
              <w:pStyle w:val="null3"/>
            </w:pPr>
            <w:r>
              <w:rPr>
                <w:rFonts w:ascii="仿宋_GB2312" w:hAnsi="仿宋_GB2312" w:cs="仿宋_GB2312" w:eastAsia="仿宋_GB2312"/>
              </w:rPr>
              <w:t>2.从业人员管理 承诺全员无犯罪记录核查、岗前文物保护培训、劳务人员购买意外险、人员替换流程完整，满分5分。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商务履约及服务保障3</w:t>
            </w:r>
          </w:p>
        </w:tc>
        <w:tc>
          <w:tcPr>
            <w:tcW w:type="dxa" w:w="2492"/>
          </w:tcPr>
          <w:p>
            <w:pPr>
              <w:pStyle w:val="null3"/>
            </w:pPr>
            <w:r>
              <w:rPr>
                <w:rFonts w:ascii="仿宋_GB2312" w:hAnsi="仿宋_GB2312" w:cs="仿宋_GB2312" w:eastAsia="仿宋_GB2312"/>
              </w:rPr>
              <w:t>3.服务承诺 ①明确工期延误违约责任，承诺若发生工期滞后、人员不到位、配合不及时等情形，自愿承担相应工期延误违约金；提供承诺得2.5分。 ②承诺项目施工高峰期、现场任务增量、人员临时缺口时，无条件、免费增补足额劳务配合人员，保障考古发掘工作连续、正常推进。提供承诺得2.5分。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投标人提供2023年至今完成过同类考古发掘配合服务项目的业绩，每提供一个得3分，满分15分，不提供不得分。（提供完整合同复印件，以合同签订时间为准。）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陕西省政府采购供应商拒绝政府采购领域商业贿赂承诺书（1）.docx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以满足招标文件实质性要求的最低投标报价为评标基准价，报价得分=（评标基准价/投标报价）×价格分值。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分项报价表(2).docx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详见附件：服务内容偏离表（1）.docx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ind w:firstLine="960"/>
      </w:pPr>
      <w:r>
        <w:rPr>
          <w:rFonts w:ascii="仿宋_GB2312" w:hAnsi="仿宋_GB2312" w:cs="仿宋_GB2312" w:eastAsia="仿宋_GB2312"/>
        </w:rPr>
        <w:t>详见附件：商务偏离表（1）.docx</w:t>
      </w:r>
    </w:p>
    <w:p>
      <w:pPr>
        <w:pStyle w:val="null3"/>
        <w:ind w:firstLine="960"/>
      </w:pPr>
      <w:r>
        <w:rPr>
          <w:rFonts w:ascii="仿宋_GB2312" w:hAnsi="仿宋_GB2312" w:cs="仿宋_GB2312" w:eastAsia="仿宋_GB2312"/>
        </w:rPr>
        <w:t>详见附件：投标方案（1）.docx</w:t>
      </w:r>
    </w:p>
    <w:p>
      <w:pPr>
        <w:pStyle w:val="null3"/>
        <w:ind w:firstLine="960"/>
      </w:pPr>
      <w:r>
        <w:rPr>
          <w:rFonts w:ascii="仿宋_GB2312" w:hAnsi="仿宋_GB2312" w:cs="仿宋_GB2312" w:eastAsia="仿宋_GB2312"/>
        </w:rPr>
        <w:t>详见附件：投标人应提供的资格证明文件（1）.docx</w:t>
      </w:r>
    </w:p>
    <w:p>
      <w:pPr>
        <w:pStyle w:val="null3"/>
        <w:ind w:firstLine="960"/>
      </w:pPr>
      <w:r>
        <w:rPr>
          <w:rFonts w:ascii="仿宋_GB2312" w:hAnsi="仿宋_GB2312" w:cs="仿宋_GB2312" w:eastAsia="仿宋_GB2312"/>
        </w:rPr>
        <w:t>详见附件：业绩（1）.docx</w:t>
      </w:r>
    </w:p>
    <w:p>
      <w:pPr>
        <w:pStyle w:val="null3"/>
        <w:ind w:firstLine="960"/>
      </w:pPr>
      <w:r>
        <w:rPr>
          <w:rFonts w:ascii="仿宋_GB2312" w:hAnsi="仿宋_GB2312" w:cs="仿宋_GB2312" w:eastAsia="仿宋_GB2312"/>
        </w:rPr>
        <w:t>详见附件：分项报价表(2).docx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