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3F577B">
      <w:pPr>
        <w:widowControl w:val="0"/>
        <w:numPr>
          <w:ilvl w:val="0"/>
          <w:numId w:val="1"/>
        </w:numPr>
        <w:spacing w:line="360" w:lineRule="auto"/>
        <w:jc w:val="center"/>
        <w:rPr>
          <w:rFonts w:hint="default" w:ascii="Calibri" w:hAnsi="Calibri" w:eastAsia="宋体" w:cs="Calibri"/>
          <w:b/>
          <w:bCs/>
          <w:color w:val="auto"/>
          <w:kern w:val="2"/>
          <w:szCs w:val="32"/>
          <w:highlight w:val="none"/>
          <w:lang w:val="en-US" w:eastAsia="zh-CN"/>
        </w:rPr>
      </w:pPr>
      <w:r>
        <w:rPr>
          <w:rFonts w:hint="eastAsia" w:cs="Calibri"/>
          <w:b/>
          <w:bCs/>
          <w:color w:val="auto"/>
          <w:kern w:val="2"/>
          <w:sz w:val="32"/>
          <w:szCs w:val="32"/>
          <w:highlight w:val="none"/>
          <w:lang w:val="en-US" w:eastAsia="zh-CN"/>
        </w:rPr>
        <w:t xml:space="preserve"> </w:t>
      </w:r>
      <w:bookmarkStart w:id="0" w:name="_Toc17312"/>
      <w:bookmarkStart w:id="1" w:name="_Toc2486"/>
      <w:bookmarkStart w:id="2" w:name="_Toc5112"/>
      <w:r>
        <w:rPr>
          <w:rFonts w:hint="eastAsia" w:cs="Calibri"/>
          <w:b/>
          <w:bCs/>
          <w:color w:val="auto"/>
          <w:kern w:val="2"/>
          <w:sz w:val="32"/>
          <w:szCs w:val="32"/>
          <w:highlight w:val="none"/>
          <w:lang w:val="en-US" w:eastAsia="zh-CN"/>
        </w:rPr>
        <w:t>陕西省神木市看守所物业服务采购需求</w:t>
      </w:r>
    </w:p>
    <w:p w14:paraId="69664F66">
      <w:pPr>
        <w:keepNext w:val="0"/>
        <w:keepLines w:val="0"/>
        <w:numPr>
          <w:ilvl w:val="0"/>
          <w:numId w:val="0"/>
        </w:numPr>
        <w:rPr>
          <w:rFonts w:hint="eastAsia" w:ascii="仿宋" w:hAnsi="仿宋" w:eastAsia="仿宋" w:cs="仿宋"/>
          <w:b/>
          <w:bCs/>
          <w:color w:val="auto"/>
          <w:kern w:val="2"/>
          <w:sz w:val="28"/>
          <w:szCs w:val="28"/>
          <w:highlight w:val="none"/>
        </w:rPr>
      </w:pPr>
      <w:r>
        <w:rPr>
          <w:rFonts w:hint="eastAsia" w:ascii="仿宋" w:hAnsi="仿宋" w:eastAsia="仿宋" w:cs="仿宋"/>
          <w:b/>
          <w:bCs/>
          <w:color w:val="auto"/>
          <w:kern w:val="2"/>
          <w:sz w:val="28"/>
          <w:szCs w:val="28"/>
          <w:highlight w:val="none"/>
        </w:rPr>
        <w:t>1</w:t>
      </w:r>
      <w:r>
        <w:rPr>
          <w:rFonts w:hint="eastAsia" w:ascii="仿宋" w:hAnsi="仿宋" w:eastAsia="仿宋" w:cs="仿宋"/>
          <w:b/>
          <w:bCs/>
          <w:color w:val="auto"/>
          <w:kern w:val="2"/>
          <w:sz w:val="28"/>
          <w:szCs w:val="28"/>
          <w:highlight w:val="none"/>
          <w:lang w:val="en-US" w:eastAsia="zh-CN"/>
        </w:rPr>
        <w:t>.</w:t>
      </w:r>
      <w:r>
        <w:rPr>
          <w:rFonts w:hint="eastAsia" w:ascii="仿宋" w:hAnsi="仿宋" w:eastAsia="仿宋" w:cs="仿宋"/>
          <w:b/>
          <w:bCs/>
          <w:color w:val="auto"/>
          <w:kern w:val="2"/>
          <w:sz w:val="28"/>
          <w:szCs w:val="28"/>
          <w:highlight w:val="none"/>
        </w:rPr>
        <w:t>项目基本情况</w:t>
      </w:r>
      <w:bookmarkEnd w:id="0"/>
    </w:p>
    <w:p w14:paraId="4A97DEEA">
      <w:pPr>
        <w:pStyle w:val="3"/>
        <w:jc w:val="both"/>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1.1物业</w:t>
      </w:r>
      <w:r>
        <w:rPr>
          <w:rFonts w:hint="eastAsia" w:ascii="仿宋" w:hAnsi="仿宋" w:eastAsia="仿宋" w:cs="仿宋"/>
          <w:color w:val="auto"/>
          <w:sz w:val="28"/>
          <w:szCs w:val="28"/>
          <w:highlight w:val="none"/>
          <w:u w:val="none"/>
          <w:lang w:val="en-US" w:eastAsia="zh-CN"/>
        </w:rPr>
        <w:t>情况</w:t>
      </w:r>
    </w:p>
    <w:tbl>
      <w:tblPr>
        <w:tblStyle w:val="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2"/>
        <w:gridCol w:w="4131"/>
      </w:tblGrid>
      <w:tr w14:paraId="255D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35" w:type="dxa"/>
            <w:noWrap w:val="0"/>
            <w:vAlign w:val="center"/>
          </w:tcPr>
          <w:p w14:paraId="1DC4AE85">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物业名称</w:t>
            </w:r>
          </w:p>
        </w:tc>
        <w:tc>
          <w:tcPr>
            <w:tcW w:w="4558" w:type="dxa"/>
            <w:noWrap w:val="0"/>
            <w:vAlign w:val="center"/>
          </w:tcPr>
          <w:p w14:paraId="2BEE519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物业地址</w:t>
            </w:r>
          </w:p>
        </w:tc>
      </w:tr>
      <w:tr w14:paraId="7B97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35" w:type="dxa"/>
            <w:noWrap w:val="0"/>
            <w:vAlign w:val="center"/>
          </w:tcPr>
          <w:p w14:paraId="6DEE496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陕西省神木市看守所物业服务</w:t>
            </w:r>
          </w:p>
        </w:tc>
        <w:tc>
          <w:tcPr>
            <w:tcW w:w="4558" w:type="dxa"/>
            <w:noWrap w:val="0"/>
            <w:vAlign w:val="center"/>
          </w:tcPr>
          <w:p w14:paraId="045CBFFA">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神木市西沙街道烽火路1号</w:t>
            </w:r>
          </w:p>
        </w:tc>
      </w:tr>
    </w:tbl>
    <w:p w14:paraId="3A0C71D0">
      <w:pPr>
        <w:pStyle w:val="2"/>
        <w:ind w:firstLine="562" w:firstLineChars="200"/>
        <w:jc w:val="both"/>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1.2采购人提供供应商使用的场地、设施、设备、材料等</w:t>
      </w:r>
    </w:p>
    <w:p w14:paraId="2F52EC65">
      <w:pPr>
        <w:pageBreakBefore w:val="0"/>
        <w:kinsoku/>
        <w:wordWrap/>
        <w:overflowPunct/>
        <w:topLinePunct w:val="0"/>
        <w:bidi w:val="0"/>
        <w:snapToGrid w:val="0"/>
        <w:spacing w:line="300" w:lineRule="auto"/>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u w:val="none"/>
          <w:lang w:val="en-US" w:eastAsia="zh-CN" w:bidi="ar-SA"/>
        </w:rPr>
        <w:t>采购人可提供办公室1间；提供就餐，餐费由供应商自理；提供保洁工具、</w:t>
      </w:r>
      <w:r>
        <w:rPr>
          <w:rFonts w:hint="eastAsia" w:ascii="仿宋" w:hAnsi="仿宋" w:eastAsia="仿宋" w:cs="仿宋"/>
          <w:color w:val="auto"/>
          <w:sz w:val="28"/>
          <w:szCs w:val="28"/>
          <w:highlight w:val="none"/>
          <w:lang w:val="en-US" w:eastAsia="zh-CN"/>
        </w:rPr>
        <w:t>维修材料、消耗品</w:t>
      </w:r>
      <w:r>
        <w:rPr>
          <w:rFonts w:hint="eastAsia" w:ascii="仿宋" w:hAnsi="仿宋" w:eastAsia="仿宋" w:cs="仿宋"/>
          <w:color w:val="auto"/>
          <w:kern w:val="0"/>
          <w:sz w:val="28"/>
          <w:szCs w:val="28"/>
          <w:highlight w:val="none"/>
          <w:u w:val="none"/>
          <w:lang w:val="en-US" w:eastAsia="zh-CN" w:bidi="ar"/>
        </w:rPr>
        <w:t>。</w:t>
      </w:r>
    </w:p>
    <w:p w14:paraId="0D3A18A4">
      <w:pPr>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供应商应当承担其它与物业服务有关的</w:t>
      </w:r>
      <w:r>
        <w:rPr>
          <w:rFonts w:hint="eastAsia" w:ascii="仿宋" w:hAnsi="仿宋" w:eastAsia="仿宋" w:cs="仿宋"/>
          <w:color w:val="auto"/>
          <w:kern w:val="2"/>
          <w:sz w:val="28"/>
          <w:szCs w:val="28"/>
          <w:highlight w:val="none"/>
          <w:u w:val="none"/>
          <w:lang w:val="en-US" w:eastAsia="zh-CN" w:bidi="ar-SA"/>
        </w:rPr>
        <w:t>场地、设施、设备、材料等</w:t>
      </w:r>
      <w:r>
        <w:rPr>
          <w:rFonts w:hint="eastAsia" w:ascii="仿宋" w:hAnsi="仿宋" w:eastAsia="仿宋" w:cs="仿宋"/>
          <w:color w:val="auto"/>
          <w:sz w:val="28"/>
          <w:szCs w:val="28"/>
          <w:highlight w:val="none"/>
          <w:lang w:val="en-US" w:eastAsia="zh-CN"/>
        </w:rPr>
        <w:t>。</w:t>
      </w:r>
    </w:p>
    <w:p w14:paraId="4D54AF7A">
      <w:pPr>
        <w:pStyle w:val="2"/>
        <w:bidi w:val="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2.物业服务范围</w:t>
      </w:r>
    </w:p>
    <w:p w14:paraId="39C0B5E9">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（1）物业服务（建筑物）</w:t>
      </w:r>
    </w:p>
    <w:tbl>
      <w:tblPr>
        <w:tblStyle w:val="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583"/>
        <w:gridCol w:w="3801"/>
        <w:gridCol w:w="2450"/>
      </w:tblGrid>
      <w:tr w14:paraId="35C4B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73" w:type="dxa"/>
            <w:gridSpan w:val="2"/>
            <w:noWrap w:val="0"/>
            <w:vAlign w:val="center"/>
          </w:tcPr>
          <w:p w14:paraId="0E43CD8F">
            <w:pPr>
              <w:pageBreakBefore w:val="0"/>
              <w:kinsoku/>
              <w:wordWrap/>
              <w:overflowPunct/>
              <w:topLinePunct w:val="0"/>
              <w:bidi w:val="0"/>
              <w:snapToGrid w:val="0"/>
              <w:spacing w:line="30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名称</w:t>
            </w:r>
          </w:p>
        </w:tc>
        <w:tc>
          <w:tcPr>
            <w:tcW w:w="4142" w:type="dxa"/>
            <w:noWrap w:val="0"/>
            <w:vAlign w:val="center"/>
          </w:tcPr>
          <w:p w14:paraId="0D6940CB">
            <w:pPr>
              <w:pageBreakBefore w:val="0"/>
              <w:kinsoku/>
              <w:wordWrap/>
              <w:overflowPunct/>
              <w:topLinePunct w:val="0"/>
              <w:bidi w:val="0"/>
              <w:snapToGrid w:val="0"/>
              <w:spacing w:line="300" w:lineRule="auto"/>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明细</w:t>
            </w:r>
          </w:p>
        </w:tc>
        <w:tc>
          <w:tcPr>
            <w:tcW w:w="2670" w:type="dxa"/>
            <w:noWrap w:val="0"/>
            <w:vAlign w:val="center"/>
          </w:tcPr>
          <w:p w14:paraId="32152785">
            <w:pPr>
              <w:pageBreakBefore w:val="0"/>
              <w:kinsoku/>
              <w:wordWrap/>
              <w:overflowPunct/>
              <w:topLinePunct w:val="0"/>
              <w:bidi w:val="0"/>
              <w:snapToGrid w:val="0"/>
              <w:spacing w:line="30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服务内容及标准</w:t>
            </w:r>
          </w:p>
        </w:tc>
      </w:tr>
      <w:tr w14:paraId="54C9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73" w:type="dxa"/>
            <w:gridSpan w:val="2"/>
            <w:noWrap w:val="0"/>
            <w:vAlign w:val="center"/>
          </w:tcPr>
          <w:p w14:paraId="68918343">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建筑1名称</w:t>
            </w:r>
          </w:p>
        </w:tc>
        <w:tc>
          <w:tcPr>
            <w:tcW w:w="4142" w:type="dxa"/>
            <w:noWrap w:val="0"/>
            <w:vAlign w:val="center"/>
          </w:tcPr>
          <w:p w14:paraId="7DDDF7B8">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看守所、拘留所</w:t>
            </w:r>
          </w:p>
        </w:tc>
        <w:tc>
          <w:tcPr>
            <w:tcW w:w="2670" w:type="dxa"/>
            <w:noWrap w:val="0"/>
            <w:vAlign w:val="center"/>
          </w:tcPr>
          <w:p w14:paraId="0584EEC2">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p>
        </w:tc>
      </w:tr>
      <w:tr w14:paraId="5E1A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restart"/>
            <w:noWrap w:val="0"/>
            <w:vAlign w:val="center"/>
          </w:tcPr>
          <w:p w14:paraId="1F346BC0">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总面积</w:t>
            </w:r>
          </w:p>
        </w:tc>
        <w:tc>
          <w:tcPr>
            <w:tcW w:w="1725" w:type="dxa"/>
            <w:noWrap w:val="0"/>
            <w:vAlign w:val="center"/>
          </w:tcPr>
          <w:p w14:paraId="7C08911F">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建筑面积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1A7C273B">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看守所建筑</w:t>
            </w:r>
            <w:r>
              <w:rPr>
                <w:rFonts w:hint="eastAsia" w:ascii="仿宋" w:hAnsi="仿宋" w:eastAsia="仿宋" w:cs="仿宋"/>
                <w:color w:val="auto"/>
                <w:sz w:val="28"/>
                <w:szCs w:val="28"/>
                <w:highlight w:val="none"/>
              </w:rPr>
              <w:t>面积</w:t>
            </w:r>
            <w:r>
              <w:rPr>
                <w:rFonts w:hint="eastAsia" w:ascii="仿宋" w:hAnsi="仿宋" w:eastAsia="仿宋" w:cs="仿宋"/>
                <w:color w:val="auto"/>
                <w:sz w:val="28"/>
                <w:szCs w:val="28"/>
                <w:highlight w:val="none"/>
                <w:lang w:val="en-US" w:eastAsia="zh-CN"/>
              </w:rPr>
              <w:t>约17511.95㎡</w:t>
            </w:r>
            <w:r>
              <w:rPr>
                <w:rFonts w:hint="eastAsia" w:ascii="仿宋" w:hAnsi="仿宋" w:eastAsia="仿宋" w:cs="仿宋"/>
                <w:color w:val="auto"/>
                <w:sz w:val="28"/>
                <w:szCs w:val="28"/>
                <w:highlight w:val="none"/>
                <w:lang w:eastAsia="zh-CN"/>
              </w:rPr>
              <w:t>、拘留所建筑面积约4230.7</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eastAsia="zh-CN"/>
              </w:rPr>
              <w:t>。</w:t>
            </w:r>
          </w:p>
        </w:tc>
        <w:tc>
          <w:tcPr>
            <w:tcW w:w="2670" w:type="dxa"/>
            <w:noWrap w:val="0"/>
            <w:vAlign w:val="center"/>
          </w:tcPr>
          <w:p w14:paraId="66EFF840">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w:t>
            </w:r>
          </w:p>
        </w:tc>
      </w:tr>
      <w:tr w14:paraId="0248F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2EA3A7A3">
            <w:pPr>
              <w:pageBreakBefore w:val="0"/>
              <w:kinsoku/>
              <w:wordWrap/>
              <w:overflowPunct/>
              <w:topLinePunct w:val="0"/>
              <w:bidi w:val="0"/>
              <w:snapToGrid w:val="0"/>
              <w:spacing w:line="300" w:lineRule="auto"/>
              <w:ind w:left="0" w:firstLine="0" w:firstLineChars="0"/>
              <w:jc w:val="center"/>
              <w:rPr>
                <w:rFonts w:hint="eastAsia" w:ascii="仿宋" w:hAnsi="仿宋" w:eastAsia="仿宋" w:cs="仿宋"/>
                <w:color w:val="auto"/>
                <w:sz w:val="28"/>
                <w:szCs w:val="28"/>
                <w:highlight w:val="none"/>
              </w:rPr>
            </w:pPr>
          </w:p>
        </w:tc>
        <w:tc>
          <w:tcPr>
            <w:tcW w:w="1725" w:type="dxa"/>
            <w:noWrap w:val="0"/>
            <w:vAlign w:val="center"/>
          </w:tcPr>
          <w:p w14:paraId="50CFA2DF">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需保洁面积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7821B2F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总</w:t>
            </w:r>
            <w:r>
              <w:rPr>
                <w:rFonts w:hint="eastAsia" w:ascii="仿宋" w:hAnsi="仿宋" w:eastAsia="仿宋" w:cs="仿宋"/>
                <w:color w:val="auto"/>
                <w:sz w:val="28"/>
                <w:szCs w:val="28"/>
                <w:highlight w:val="none"/>
              </w:rPr>
              <w:t>保洁面积</w:t>
            </w:r>
            <w:r>
              <w:rPr>
                <w:rFonts w:hint="eastAsia" w:ascii="仿宋" w:hAnsi="仿宋" w:eastAsia="仿宋" w:cs="仿宋"/>
                <w:color w:val="auto"/>
                <w:sz w:val="28"/>
                <w:szCs w:val="28"/>
                <w:highlight w:val="none"/>
                <w:lang w:val="en-US" w:eastAsia="zh-CN"/>
              </w:rPr>
              <w:t>20000㎡</w:t>
            </w:r>
          </w:p>
        </w:tc>
        <w:tc>
          <w:tcPr>
            <w:tcW w:w="2670" w:type="dxa"/>
            <w:noWrap w:val="0"/>
            <w:vAlign w:val="center"/>
          </w:tcPr>
          <w:p w14:paraId="7FB82FC1">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见“3.4保洁服务”</w:t>
            </w:r>
          </w:p>
        </w:tc>
      </w:tr>
      <w:tr w14:paraId="4C21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1610B5CE">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门窗</w:t>
            </w:r>
          </w:p>
        </w:tc>
        <w:tc>
          <w:tcPr>
            <w:tcW w:w="1725" w:type="dxa"/>
            <w:noWrap w:val="0"/>
            <w:vAlign w:val="center"/>
          </w:tcPr>
          <w:p w14:paraId="591B67BC">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门窗总数量（个）及总面积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22CF8946">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门窗数约500套，总面积约2000㎡</w:t>
            </w:r>
          </w:p>
        </w:tc>
        <w:tc>
          <w:tcPr>
            <w:tcW w:w="2670" w:type="dxa"/>
            <w:noWrap w:val="0"/>
            <w:vAlign w:val="center"/>
          </w:tcPr>
          <w:p w14:paraId="5F5084EF">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w:t>
            </w:r>
          </w:p>
        </w:tc>
      </w:tr>
      <w:tr w14:paraId="2A18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5E199D9F">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地面</w:t>
            </w:r>
          </w:p>
        </w:tc>
        <w:tc>
          <w:tcPr>
            <w:tcW w:w="1725" w:type="dxa"/>
            <w:noWrap w:val="0"/>
            <w:vAlign w:val="center"/>
          </w:tcPr>
          <w:p w14:paraId="2C472392">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地面</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材质</w:t>
            </w:r>
            <w:r>
              <w:rPr>
                <w:rFonts w:hint="eastAsia" w:ascii="仿宋" w:hAnsi="仿宋" w:eastAsia="仿宋" w:cs="仿宋"/>
                <w:color w:val="auto"/>
                <w:sz w:val="28"/>
                <w:szCs w:val="28"/>
                <w:highlight w:val="none"/>
                <w:lang w:val="en-US" w:eastAsia="zh-CN"/>
              </w:rPr>
              <w:t>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60BC7C29">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瓷砖总面积约17000㎡</w:t>
            </w:r>
          </w:p>
        </w:tc>
        <w:tc>
          <w:tcPr>
            <w:tcW w:w="2670" w:type="dxa"/>
            <w:noWrap w:val="0"/>
            <w:vAlign w:val="center"/>
          </w:tcPr>
          <w:p w14:paraId="434417EE">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w:t>
            </w:r>
          </w:p>
        </w:tc>
      </w:tr>
      <w:tr w14:paraId="70A3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48" w:type="dxa"/>
            <w:noWrap w:val="0"/>
            <w:vAlign w:val="center"/>
          </w:tcPr>
          <w:p w14:paraId="2DEAD65F">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内墙饰面</w:t>
            </w:r>
          </w:p>
        </w:tc>
        <w:tc>
          <w:tcPr>
            <w:tcW w:w="1725" w:type="dxa"/>
            <w:noWrap w:val="0"/>
            <w:vAlign w:val="center"/>
          </w:tcPr>
          <w:p w14:paraId="58D3CDB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内墙饰面</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材质</w:t>
            </w:r>
            <w:r>
              <w:rPr>
                <w:rFonts w:hint="eastAsia" w:ascii="仿宋" w:hAnsi="仿宋" w:eastAsia="仿宋" w:cs="仿宋"/>
                <w:color w:val="auto"/>
                <w:sz w:val="28"/>
                <w:szCs w:val="28"/>
                <w:highlight w:val="none"/>
                <w:lang w:val="en-US" w:eastAsia="zh-CN"/>
              </w:rPr>
              <w:t>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7C34502A">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rPr>
            </w:pPr>
            <w:r>
              <w:rPr>
                <w:rFonts w:hint="eastAsia" w:ascii="仿宋" w:hAnsi="仿宋" w:eastAsia="仿宋" w:cs="仿宋"/>
                <w:b w:val="0"/>
                <w:bCs w:val="0"/>
                <w:color w:val="auto"/>
                <w:sz w:val="28"/>
                <w:szCs w:val="28"/>
                <w:highlight w:val="none"/>
                <w:lang w:val="en-US" w:eastAsia="zh-CN"/>
              </w:rPr>
              <w:t>内墙饰面</w:t>
            </w:r>
            <w:r>
              <w:rPr>
                <w:rFonts w:hint="eastAsia" w:ascii="仿宋" w:hAnsi="仿宋" w:eastAsia="仿宋" w:cs="仿宋"/>
                <w:color w:val="auto"/>
                <w:sz w:val="28"/>
                <w:szCs w:val="28"/>
                <w:highlight w:val="none"/>
                <w:lang w:val="en-US" w:eastAsia="zh-CN"/>
              </w:rPr>
              <w:t>乳胶漆总面积20000㎡</w:t>
            </w:r>
          </w:p>
        </w:tc>
        <w:tc>
          <w:tcPr>
            <w:tcW w:w="2670" w:type="dxa"/>
            <w:noWrap w:val="0"/>
            <w:vAlign w:val="center"/>
          </w:tcPr>
          <w:p w14:paraId="57E8353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w:t>
            </w:r>
          </w:p>
        </w:tc>
      </w:tr>
      <w:tr w14:paraId="0A35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6CE75C7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顶面</w:t>
            </w:r>
          </w:p>
        </w:tc>
        <w:tc>
          <w:tcPr>
            <w:tcW w:w="1725" w:type="dxa"/>
            <w:noWrap w:val="0"/>
            <w:vAlign w:val="center"/>
          </w:tcPr>
          <w:p w14:paraId="34BE8AF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顶面各</w:t>
            </w:r>
            <w:r>
              <w:rPr>
                <w:rFonts w:hint="eastAsia" w:ascii="仿宋" w:hAnsi="仿宋" w:eastAsia="仿宋" w:cs="仿宋"/>
                <w:color w:val="auto"/>
                <w:sz w:val="28"/>
                <w:szCs w:val="28"/>
                <w:highlight w:val="none"/>
              </w:rPr>
              <w:t>材质</w:t>
            </w:r>
            <w:r>
              <w:rPr>
                <w:rFonts w:hint="eastAsia" w:ascii="仿宋" w:hAnsi="仿宋" w:eastAsia="仿宋" w:cs="仿宋"/>
                <w:color w:val="auto"/>
                <w:sz w:val="28"/>
                <w:szCs w:val="28"/>
                <w:highlight w:val="none"/>
                <w:lang w:val="en-US" w:eastAsia="zh-CN"/>
              </w:rPr>
              <w:t>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467B7D28">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顶面乳胶漆总面积约7000㎡，铝扣板总面积5000㎡</w:t>
            </w:r>
          </w:p>
        </w:tc>
        <w:tc>
          <w:tcPr>
            <w:tcW w:w="2670" w:type="dxa"/>
            <w:noWrap w:val="0"/>
            <w:vAlign w:val="center"/>
          </w:tcPr>
          <w:p w14:paraId="2B20DFAC">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w:t>
            </w:r>
          </w:p>
        </w:tc>
      </w:tr>
      <w:tr w14:paraId="42F6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restart"/>
            <w:noWrap w:val="0"/>
            <w:vAlign w:val="center"/>
          </w:tcPr>
          <w:p w14:paraId="6037C57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外墙</w:t>
            </w:r>
          </w:p>
        </w:tc>
        <w:tc>
          <w:tcPr>
            <w:tcW w:w="1725" w:type="dxa"/>
            <w:noWrap w:val="0"/>
            <w:vAlign w:val="center"/>
          </w:tcPr>
          <w:p w14:paraId="015A3ED8">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外墙</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材质</w:t>
            </w:r>
            <w:r>
              <w:rPr>
                <w:rFonts w:hint="eastAsia" w:ascii="仿宋" w:hAnsi="仿宋" w:eastAsia="仿宋" w:cs="仿宋"/>
                <w:color w:val="auto"/>
                <w:sz w:val="28"/>
                <w:szCs w:val="28"/>
                <w:highlight w:val="none"/>
                <w:lang w:val="en-US" w:eastAsia="zh-CN"/>
              </w:rPr>
              <w:t>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076E66E4">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外墙涂料（普通涂料、弹性涂料等）总面积13000㎡，真石漆总面积约500㎡，干挂石材总面积约3000㎡</w:t>
            </w:r>
          </w:p>
        </w:tc>
        <w:tc>
          <w:tcPr>
            <w:tcW w:w="2670" w:type="dxa"/>
            <w:noWrap w:val="0"/>
            <w:vAlign w:val="center"/>
          </w:tcPr>
          <w:p w14:paraId="120711C7">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w:t>
            </w:r>
          </w:p>
        </w:tc>
      </w:tr>
      <w:tr w14:paraId="08B7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1845076C">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p>
        </w:tc>
        <w:tc>
          <w:tcPr>
            <w:tcW w:w="1725" w:type="dxa"/>
            <w:noWrap w:val="0"/>
            <w:vAlign w:val="center"/>
          </w:tcPr>
          <w:p w14:paraId="4480DD78">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外墙</w:t>
            </w:r>
            <w:r>
              <w:rPr>
                <w:rFonts w:hint="eastAsia" w:ascii="仿宋" w:hAnsi="仿宋" w:eastAsia="仿宋" w:cs="仿宋"/>
                <w:color w:val="auto"/>
                <w:sz w:val="28"/>
                <w:szCs w:val="28"/>
                <w:highlight w:val="none"/>
              </w:rPr>
              <w:t>需</w:t>
            </w:r>
            <w:r>
              <w:rPr>
                <w:rFonts w:hint="eastAsia" w:ascii="仿宋" w:hAnsi="仿宋" w:eastAsia="仿宋" w:cs="仿宋"/>
                <w:color w:val="auto"/>
                <w:sz w:val="28"/>
                <w:szCs w:val="28"/>
                <w:highlight w:val="none"/>
                <w:lang w:val="en-US" w:eastAsia="zh-CN"/>
              </w:rPr>
              <w:t>清洗面积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103F2AA1">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干挂石材总面积约3000㎡</w:t>
            </w:r>
          </w:p>
        </w:tc>
        <w:tc>
          <w:tcPr>
            <w:tcW w:w="2670" w:type="dxa"/>
            <w:noWrap w:val="0"/>
            <w:vAlign w:val="center"/>
          </w:tcPr>
          <w:p w14:paraId="0D9C0431">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见“3.4保洁服务”</w:t>
            </w:r>
          </w:p>
        </w:tc>
      </w:tr>
      <w:tr w14:paraId="4A51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restart"/>
            <w:noWrap w:val="0"/>
            <w:vAlign w:val="center"/>
          </w:tcPr>
          <w:p w14:paraId="22524ACE">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会议室</w:t>
            </w:r>
          </w:p>
        </w:tc>
        <w:tc>
          <w:tcPr>
            <w:tcW w:w="1725" w:type="dxa"/>
            <w:noWrap w:val="0"/>
            <w:vAlign w:val="center"/>
          </w:tcPr>
          <w:p w14:paraId="75EB1FEA">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室内</w:t>
            </w:r>
            <w:r>
              <w:rPr>
                <w:rFonts w:hint="eastAsia" w:ascii="仿宋" w:hAnsi="仿宋" w:eastAsia="仿宋" w:cs="仿宋"/>
                <w:color w:val="auto"/>
                <w:sz w:val="28"/>
                <w:szCs w:val="28"/>
                <w:highlight w:val="none"/>
              </w:rPr>
              <w:t>设施</w:t>
            </w:r>
            <w:r>
              <w:rPr>
                <w:rFonts w:hint="eastAsia" w:ascii="仿宋" w:hAnsi="仿宋" w:eastAsia="仿宋" w:cs="仿宋"/>
                <w:color w:val="auto"/>
                <w:sz w:val="28"/>
                <w:szCs w:val="28"/>
                <w:highlight w:val="none"/>
                <w:lang w:val="en-US" w:eastAsia="zh-CN"/>
              </w:rPr>
              <w:t>说明</w:t>
            </w:r>
          </w:p>
        </w:tc>
        <w:tc>
          <w:tcPr>
            <w:tcW w:w="4142" w:type="dxa"/>
            <w:noWrap w:val="0"/>
            <w:vAlign w:val="center"/>
          </w:tcPr>
          <w:p w14:paraId="01693AC2">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室内设施情况：会议桌36、会议椅72、投影机1、话筒7</w:t>
            </w:r>
          </w:p>
        </w:tc>
        <w:tc>
          <w:tcPr>
            <w:tcW w:w="2670" w:type="dxa"/>
            <w:noWrap w:val="0"/>
            <w:vAlign w:val="center"/>
          </w:tcPr>
          <w:p w14:paraId="42C1D00A">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见“3.2房屋维护服务”“3.4保洁服务”“3.7会议服务”</w:t>
            </w:r>
          </w:p>
        </w:tc>
      </w:tr>
      <w:tr w14:paraId="41444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48" w:type="dxa"/>
            <w:vMerge w:val="continue"/>
            <w:noWrap w:val="0"/>
            <w:vAlign w:val="center"/>
          </w:tcPr>
          <w:p w14:paraId="57A0D15D">
            <w:pPr>
              <w:pageBreakBefore w:val="0"/>
              <w:kinsoku/>
              <w:wordWrap/>
              <w:overflowPunct/>
              <w:topLinePunct w:val="0"/>
              <w:bidi w:val="0"/>
              <w:snapToGrid w:val="0"/>
              <w:spacing w:line="300" w:lineRule="auto"/>
              <w:ind w:left="0" w:firstLine="0" w:firstLineChars="0"/>
              <w:jc w:val="center"/>
              <w:rPr>
                <w:rFonts w:hint="eastAsia" w:ascii="仿宋" w:hAnsi="仿宋" w:eastAsia="仿宋" w:cs="仿宋"/>
                <w:color w:val="auto"/>
                <w:sz w:val="28"/>
                <w:szCs w:val="28"/>
                <w:highlight w:val="none"/>
              </w:rPr>
            </w:pPr>
          </w:p>
        </w:tc>
        <w:tc>
          <w:tcPr>
            <w:tcW w:w="1725" w:type="dxa"/>
            <w:noWrap w:val="0"/>
            <w:vAlign w:val="center"/>
          </w:tcPr>
          <w:p w14:paraId="584214D1">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会议室数量（个）及总面积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52A5C080">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会议室总数量5个，总面积400㎡</w:t>
            </w:r>
          </w:p>
        </w:tc>
        <w:tc>
          <w:tcPr>
            <w:tcW w:w="2670" w:type="dxa"/>
            <w:noWrap w:val="0"/>
            <w:vAlign w:val="center"/>
          </w:tcPr>
          <w:p w14:paraId="7B5781C4">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见“3.4保洁服务”“3.7会议服务”</w:t>
            </w:r>
          </w:p>
        </w:tc>
      </w:tr>
      <w:tr w14:paraId="54F4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restart"/>
            <w:noWrap w:val="0"/>
            <w:vAlign w:val="center"/>
          </w:tcPr>
          <w:p w14:paraId="1B2D4724">
            <w:pPr>
              <w:pageBreakBefore w:val="0"/>
              <w:kinsoku/>
              <w:wordWrap/>
              <w:overflowPunct/>
              <w:topLinePunct w:val="0"/>
              <w:bidi w:val="0"/>
              <w:snapToGrid w:val="0"/>
              <w:spacing w:line="300" w:lineRule="auto"/>
              <w:ind w:left="0" w:firstLine="0" w:firstLineChars="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报告厅</w:t>
            </w:r>
          </w:p>
        </w:tc>
        <w:tc>
          <w:tcPr>
            <w:tcW w:w="1725" w:type="dxa"/>
            <w:noWrap w:val="0"/>
            <w:vAlign w:val="center"/>
          </w:tcPr>
          <w:p w14:paraId="0027362B">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室内</w:t>
            </w:r>
            <w:r>
              <w:rPr>
                <w:rFonts w:hint="eastAsia" w:ascii="仿宋" w:hAnsi="仿宋" w:eastAsia="仿宋" w:cs="仿宋"/>
                <w:color w:val="auto"/>
                <w:sz w:val="28"/>
                <w:szCs w:val="28"/>
                <w:highlight w:val="none"/>
              </w:rPr>
              <w:t>设施</w:t>
            </w:r>
            <w:r>
              <w:rPr>
                <w:rFonts w:hint="eastAsia" w:ascii="仿宋" w:hAnsi="仿宋" w:eastAsia="仿宋" w:cs="仿宋"/>
                <w:color w:val="auto"/>
                <w:sz w:val="28"/>
                <w:szCs w:val="28"/>
                <w:highlight w:val="none"/>
                <w:lang w:val="en-US" w:eastAsia="zh-CN"/>
              </w:rPr>
              <w:t>说明</w:t>
            </w:r>
          </w:p>
        </w:tc>
        <w:tc>
          <w:tcPr>
            <w:tcW w:w="4142" w:type="dxa"/>
            <w:noWrap w:val="0"/>
            <w:vAlign w:val="center"/>
          </w:tcPr>
          <w:p w14:paraId="74F4C03A">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室内设施情况：会议桌:68、会议椅96、话筒8</w:t>
            </w:r>
          </w:p>
        </w:tc>
        <w:tc>
          <w:tcPr>
            <w:tcW w:w="2670" w:type="dxa"/>
            <w:noWrap w:val="0"/>
            <w:vAlign w:val="center"/>
          </w:tcPr>
          <w:p w14:paraId="34F5933A">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见“3.4保洁服务”“3.7会议服务”</w:t>
            </w:r>
          </w:p>
        </w:tc>
      </w:tr>
      <w:tr w14:paraId="1E79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77636CEB">
            <w:pPr>
              <w:pageBreakBefore w:val="0"/>
              <w:kinsoku/>
              <w:wordWrap/>
              <w:overflowPunct/>
              <w:topLinePunct w:val="0"/>
              <w:bidi w:val="0"/>
              <w:snapToGrid w:val="0"/>
              <w:spacing w:line="300" w:lineRule="auto"/>
              <w:ind w:left="0" w:firstLine="0" w:firstLineChars="0"/>
              <w:jc w:val="center"/>
              <w:rPr>
                <w:rFonts w:hint="eastAsia" w:ascii="仿宋" w:hAnsi="仿宋" w:eastAsia="仿宋" w:cs="仿宋"/>
                <w:color w:val="auto"/>
                <w:sz w:val="28"/>
                <w:szCs w:val="28"/>
                <w:highlight w:val="none"/>
              </w:rPr>
            </w:pPr>
          </w:p>
        </w:tc>
        <w:tc>
          <w:tcPr>
            <w:tcW w:w="1725" w:type="dxa"/>
            <w:noWrap w:val="0"/>
            <w:vAlign w:val="center"/>
          </w:tcPr>
          <w:p w14:paraId="371BFF23">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报告厅数量（个）及总面积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54A2BFBB">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报告厅数量1个，总面积330㎡</w:t>
            </w:r>
          </w:p>
        </w:tc>
        <w:tc>
          <w:tcPr>
            <w:tcW w:w="2670" w:type="dxa"/>
            <w:noWrap w:val="0"/>
            <w:vAlign w:val="center"/>
          </w:tcPr>
          <w:p w14:paraId="7D9346ED">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见“3.4保洁服务”“3.7会议服务”</w:t>
            </w:r>
          </w:p>
        </w:tc>
      </w:tr>
      <w:tr w14:paraId="0644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563C14AE">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卫生间</w:t>
            </w:r>
          </w:p>
        </w:tc>
        <w:tc>
          <w:tcPr>
            <w:tcW w:w="1725" w:type="dxa"/>
            <w:noWrap w:val="0"/>
            <w:vAlign w:val="center"/>
          </w:tcPr>
          <w:p w14:paraId="4E9D8571">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卫生间数量（个）及总面积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p>
        </w:tc>
        <w:tc>
          <w:tcPr>
            <w:tcW w:w="4142" w:type="dxa"/>
            <w:noWrap w:val="0"/>
            <w:vAlign w:val="center"/>
          </w:tcPr>
          <w:p w14:paraId="16E4BEE8">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卫生间数量15个，总面积150</w:t>
            </w:r>
            <w:r>
              <w:rPr>
                <w:rFonts w:hint="eastAsia" w:ascii="仿宋" w:hAnsi="仿宋" w:eastAsia="仿宋" w:cs="仿宋"/>
                <w:color w:val="auto"/>
                <w:sz w:val="28"/>
                <w:szCs w:val="28"/>
                <w:highlight w:val="none"/>
              </w:rPr>
              <w:t>㎡</w:t>
            </w:r>
          </w:p>
        </w:tc>
        <w:tc>
          <w:tcPr>
            <w:tcW w:w="2670" w:type="dxa"/>
            <w:noWrap w:val="0"/>
            <w:vAlign w:val="center"/>
          </w:tcPr>
          <w:p w14:paraId="43981C8B">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p>
        </w:tc>
      </w:tr>
      <w:tr w14:paraId="499D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527D75AB">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垃圾存放点</w:t>
            </w:r>
          </w:p>
        </w:tc>
        <w:tc>
          <w:tcPr>
            <w:tcW w:w="1725" w:type="dxa"/>
            <w:noWrap w:val="0"/>
            <w:vAlign w:val="center"/>
          </w:tcPr>
          <w:p w14:paraId="0C533D01">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各垃圾存放点位置、</w:t>
            </w:r>
            <w:r>
              <w:rPr>
                <w:rFonts w:hint="eastAsia" w:ascii="仿宋" w:hAnsi="仿宋" w:eastAsia="仿宋" w:cs="仿宋"/>
                <w:color w:val="auto"/>
                <w:sz w:val="28"/>
                <w:szCs w:val="28"/>
                <w:highlight w:val="none"/>
              </w:rPr>
              <w:t>面积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及数量（个）</w:t>
            </w:r>
          </w:p>
        </w:tc>
        <w:tc>
          <w:tcPr>
            <w:tcW w:w="4142" w:type="dxa"/>
            <w:noWrap w:val="0"/>
            <w:vAlign w:val="center"/>
          </w:tcPr>
          <w:p w14:paraId="69012C17">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各垃圾存放点位置：看守所监区、拘留所、业务楼等处。</w:t>
            </w:r>
          </w:p>
        </w:tc>
        <w:tc>
          <w:tcPr>
            <w:tcW w:w="2670" w:type="dxa"/>
            <w:noWrap w:val="0"/>
            <w:vAlign w:val="center"/>
          </w:tcPr>
          <w:p w14:paraId="412F71FE">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p>
        </w:tc>
      </w:tr>
      <w:tr w14:paraId="2FA6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noWrap w:val="0"/>
            <w:vAlign w:val="center"/>
          </w:tcPr>
          <w:p w14:paraId="0E2D3026">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车位数</w:t>
            </w:r>
          </w:p>
        </w:tc>
        <w:tc>
          <w:tcPr>
            <w:tcW w:w="1725" w:type="dxa"/>
            <w:noWrap w:val="0"/>
            <w:vAlign w:val="center"/>
          </w:tcPr>
          <w:p w14:paraId="0150C9B8">
            <w:pPr>
              <w:pageBreakBefore w:val="0"/>
              <w:kinsoku/>
              <w:wordWrap/>
              <w:overflowPunct/>
              <w:topLinePunct w:val="0"/>
              <w:bidi w:val="0"/>
              <w:snapToGrid w:val="0"/>
              <w:spacing w:line="300" w:lineRule="auto"/>
              <w:ind w:left="0" w:leftChars="0" w:firstLine="0" w:firstLineChars="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地面车位数</w:t>
            </w:r>
          </w:p>
        </w:tc>
        <w:tc>
          <w:tcPr>
            <w:tcW w:w="4142" w:type="dxa"/>
            <w:noWrap w:val="0"/>
            <w:vAlign w:val="center"/>
          </w:tcPr>
          <w:p w14:paraId="7D00F254">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车位数72个，充</w:t>
            </w:r>
            <w:r>
              <w:rPr>
                <w:rFonts w:hint="eastAsia" w:ascii="仿宋" w:hAnsi="仿宋" w:eastAsia="仿宋" w:cs="仿宋"/>
                <w:b w:val="0"/>
                <w:bCs w:val="0"/>
                <w:color w:val="auto"/>
                <w:sz w:val="28"/>
                <w:szCs w:val="28"/>
                <w:highlight w:val="none"/>
                <w:lang w:val="en-US" w:eastAsia="zh-CN"/>
              </w:rPr>
              <w:t>电桩车位4个</w:t>
            </w:r>
          </w:p>
        </w:tc>
        <w:tc>
          <w:tcPr>
            <w:tcW w:w="2670" w:type="dxa"/>
            <w:noWrap w:val="0"/>
            <w:vAlign w:val="center"/>
          </w:tcPr>
          <w:p w14:paraId="2FA553D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w:t>
            </w:r>
          </w:p>
        </w:tc>
      </w:tr>
      <w:tr w14:paraId="4C86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restart"/>
            <w:noWrap w:val="0"/>
            <w:vAlign w:val="center"/>
          </w:tcPr>
          <w:p w14:paraId="5913854E">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车行/人行口</w:t>
            </w:r>
          </w:p>
        </w:tc>
        <w:tc>
          <w:tcPr>
            <w:tcW w:w="1725" w:type="dxa"/>
            <w:noWrap w:val="0"/>
            <w:vAlign w:val="center"/>
          </w:tcPr>
          <w:p w14:paraId="0F75018F">
            <w:pPr>
              <w:pageBreakBefore w:val="0"/>
              <w:kinsoku/>
              <w:wordWrap/>
              <w:overflowPunct/>
              <w:topLinePunct w:val="0"/>
              <w:bidi w:val="0"/>
              <w:snapToGrid w:val="0"/>
              <w:spacing w:line="300" w:lineRule="auto"/>
              <w:ind w:left="0" w:leftChars="0" w:firstLine="0" w:firstLineChars="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车行口</w:t>
            </w:r>
          </w:p>
        </w:tc>
        <w:tc>
          <w:tcPr>
            <w:tcW w:w="4142" w:type="dxa"/>
            <w:noWrap w:val="0"/>
            <w:vAlign w:val="center"/>
          </w:tcPr>
          <w:p w14:paraId="53A43B92">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车行口数量1</w:t>
            </w:r>
          </w:p>
        </w:tc>
        <w:tc>
          <w:tcPr>
            <w:tcW w:w="2670" w:type="dxa"/>
            <w:noWrap w:val="0"/>
            <w:vAlign w:val="center"/>
          </w:tcPr>
          <w:p w14:paraId="614D43BB">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w:t>
            </w:r>
          </w:p>
        </w:tc>
      </w:tr>
      <w:tr w14:paraId="4B2D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748" w:type="dxa"/>
            <w:vMerge w:val="continue"/>
            <w:noWrap w:val="0"/>
            <w:vAlign w:val="center"/>
          </w:tcPr>
          <w:p w14:paraId="6B38E6C3">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lang w:val="en-US" w:eastAsia="zh-CN"/>
              </w:rPr>
            </w:pPr>
          </w:p>
        </w:tc>
        <w:tc>
          <w:tcPr>
            <w:tcW w:w="1725" w:type="dxa"/>
            <w:noWrap w:val="0"/>
            <w:vAlign w:val="center"/>
          </w:tcPr>
          <w:p w14:paraId="2CA09DA8">
            <w:pPr>
              <w:pageBreakBefore w:val="0"/>
              <w:kinsoku/>
              <w:wordWrap/>
              <w:overflowPunct/>
              <w:topLinePunct w:val="0"/>
              <w:bidi w:val="0"/>
              <w:snapToGrid w:val="0"/>
              <w:spacing w:line="300" w:lineRule="auto"/>
              <w:ind w:left="0" w:leftChars="0" w:firstLine="0" w:firstLineChars="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人行口</w:t>
            </w:r>
          </w:p>
        </w:tc>
        <w:tc>
          <w:tcPr>
            <w:tcW w:w="4142" w:type="dxa"/>
            <w:noWrap w:val="0"/>
            <w:vAlign w:val="center"/>
          </w:tcPr>
          <w:p w14:paraId="2BE958CD">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人行口数量1</w:t>
            </w:r>
          </w:p>
        </w:tc>
        <w:tc>
          <w:tcPr>
            <w:tcW w:w="2670" w:type="dxa"/>
            <w:noWrap w:val="0"/>
            <w:vAlign w:val="center"/>
          </w:tcPr>
          <w:p w14:paraId="459D0488">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w:t>
            </w:r>
          </w:p>
        </w:tc>
      </w:tr>
      <w:tr w14:paraId="0885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48" w:type="dxa"/>
            <w:vMerge w:val="restart"/>
            <w:noWrap w:val="0"/>
            <w:vAlign w:val="center"/>
          </w:tcPr>
          <w:p w14:paraId="7A6746D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设施设 备</w:t>
            </w:r>
          </w:p>
          <w:p w14:paraId="6C541397">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p>
        </w:tc>
        <w:tc>
          <w:tcPr>
            <w:tcW w:w="1725" w:type="dxa"/>
            <w:noWrap w:val="0"/>
            <w:vAlign w:val="center"/>
          </w:tcPr>
          <w:p w14:paraId="49721056">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空调</w:t>
            </w:r>
            <w:r>
              <w:rPr>
                <w:rFonts w:hint="eastAsia" w:ascii="仿宋" w:hAnsi="仿宋" w:eastAsia="仿宋" w:cs="仿宋"/>
                <w:color w:val="auto"/>
                <w:sz w:val="28"/>
                <w:szCs w:val="28"/>
                <w:highlight w:val="none"/>
                <w:lang w:val="en-US" w:eastAsia="zh-CN"/>
              </w:rPr>
              <w:t>系统</w:t>
            </w:r>
          </w:p>
        </w:tc>
        <w:tc>
          <w:tcPr>
            <w:tcW w:w="4142" w:type="dxa"/>
            <w:noWrap w:val="0"/>
            <w:vAlign w:val="center"/>
          </w:tcPr>
          <w:p w14:paraId="19D192F8">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壁挂式单元式空调50台</w:t>
            </w:r>
          </w:p>
        </w:tc>
        <w:tc>
          <w:tcPr>
            <w:tcW w:w="2670" w:type="dxa"/>
            <w:noWrap w:val="0"/>
            <w:vAlign w:val="center"/>
          </w:tcPr>
          <w:p w14:paraId="01817B7F">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10E9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76B3E813">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73ECB24F">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采暖</w:t>
            </w:r>
            <w:r>
              <w:rPr>
                <w:rFonts w:hint="eastAsia" w:ascii="仿宋" w:hAnsi="仿宋" w:eastAsia="仿宋" w:cs="仿宋"/>
                <w:color w:val="auto"/>
                <w:sz w:val="28"/>
                <w:szCs w:val="28"/>
                <w:highlight w:val="none"/>
                <w:lang w:val="en-US" w:eastAsia="zh-CN"/>
              </w:rPr>
              <w:t>系统</w:t>
            </w:r>
          </w:p>
        </w:tc>
        <w:tc>
          <w:tcPr>
            <w:tcW w:w="4142" w:type="dxa"/>
            <w:noWrap w:val="0"/>
            <w:vAlign w:val="center"/>
          </w:tcPr>
          <w:p w14:paraId="57204912">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地采暖、散热片</w:t>
            </w:r>
          </w:p>
        </w:tc>
        <w:tc>
          <w:tcPr>
            <w:tcW w:w="2670" w:type="dxa"/>
            <w:noWrap w:val="0"/>
            <w:vAlign w:val="center"/>
          </w:tcPr>
          <w:p w14:paraId="6035C8B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4A4D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48" w:type="dxa"/>
            <w:vMerge w:val="continue"/>
            <w:noWrap w:val="0"/>
            <w:vAlign w:val="center"/>
          </w:tcPr>
          <w:p w14:paraId="185772C9">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39C5548A">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给排水</w:t>
            </w:r>
            <w:r>
              <w:rPr>
                <w:rFonts w:hint="eastAsia" w:ascii="仿宋" w:hAnsi="仿宋" w:eastAsia="仿宋" w:cs="仿宋"/>
                <w:color w:val="auto"/>
                <w:sz w:val="28"/>
                <w:szCs w:val="28"/>
                <w:highlight w:val="none"/>
                <w:lang w:val="en-US" w:eastAsia="zh-CN"/>
              </w:rPr>
              <w:t>系统</w:t>
            </w:r>
          </w:p>
        </w:tc>
        <w:tc>
          <w:tcPr>
            <w:tcW w:w="4142" w:type="dxa"/>
            <w:noWrap w:val="0"/>
            <w:vAlign w:val="center"/>
          </w:tcPr>
          <w:p w14:paraId="3621B79A">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给排水系统构成：集水井、化粪池</w:t>
            </w:r>
          </w:p>
        </w:tc>
        <w:tc>
          <w:tcPr>
            <w:tcW w:w="2670" w:type="dxa"/>
            <w:noWrap w:val="0"/>
            <w:vAlign w:val="center"/>
          </w:tcPr>
          <w:p w14:paraId="3C6CC10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1910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4A7BFD58">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51A8EC97">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消防</w:t>
            </w:r>
            <w:r>
              <w:rPr>
                <w:rFonts w:hint="eastAsia" w:ascii="仿宋" w:hAnsi="仿宋" w:eastAsia="仿宋" w:cs="仿宋"/>
                <w:color w:val="auto"/>
                <w:sz w:val="28"/>
                <w:szCs w:val="28"/>
                <w:highlight w:val="none"/>
                <w:lang w:val="en-US" w:eastAsia="zh-CN"/>
              </w:rPr>
              <w:t>系统</w:t>
            </w:r>
          </w:p>
        </w:tc>
        <w:tc>
          <w:tcPr>
            <w:tcW w:w="4142" w:type="dxa"/>
            <w:noWrap w:val="0"/>
            <w:vAlign w:val="center"/>
          </w:tcPr>
          <w:p w14:paraId="728C021F">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消防系统的构成：灭火器100个。</w:t>
            </w:r>
          </w:p>
        </w:tc>
        <w:tc>
          <w:tcPr>
            <w:tcW w:w="2670" w:type="dxa"/>
            <w:noWrap w:val="0"/>
            <w:vAlign w:val="center"/>
          </w:tcPr>
          <w:p w14:paraId="33846203">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3CFD2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036B2195">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44EFED4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锅炉设备</w:t>
            </w:r>
          </w:p>
        </w:tc>
        <w:tc>
          <w:tcPr>
            <w:tcW w:w="4142" w:type="dxa"/>
            <w:noWrap w:val="0"/>
            <w:vAlign w:val="center"/>
          </w:tcPr>
          <w:p w14:paraId="410C88F0">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锅炉系统的构成：天然气锅炉，2台。</w:t>
            </w:r>
          </w:p>
        </w:tc>
        <w:tc>
          <w:tcPr>
            <w:tcW w:w="2670" w:type="dxa"/>
            <w:noWrap w:val="0"/>
            <w:vAlign w:val="center"/>
          </w:tcPr>
          <w:p w14:paraId="4B69A47F">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6B14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8" w:type="dxa"/>
            <w:vMerge w:val="continue"/>
            <w:noWrap w:val="0"/>
            <w:vAlign w:val="center"/>
          </w:tcPr>
          <w:p w14:paraId="34481B8B">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7817630D">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照明系统</w:t>
            </w:r>
          </w:p>
        </w:tc>
        <w:tc>
          <w:tcPr>
            <w:tcW w:w="4142" w:type="dxa"/>
            <w:noWrap w:val="0"/>
            <w:vAlign w:val="center"/>
          </w:tcPr>
          <w:p w14:paraId="05E5175B">
            <w:pPr>
              <w:pageBreakBefore w:val="0"/>
              <w:kinsoku/>
              <w:wordWrap/>
              <w:overflowPunct/>
              <w:topLinePunct w:val="0"/>
              <w:bidi w:val="0"/>
              <w:snapToGrid w:val="0"/>
              <w:spacing w:line="30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照明系统的构成：灯光照明设备，数量600个</w:t>
            </w:r>
          </w:p>
        </w:tc>
        <w:tc>
          <w:tcPr>
            <w:tcW w:w="2670" w:type="dxa"/>
            <w:noWrap w:val="0"/>
            <w:vAlign w:val="center"/>
          </w:tcPr>
          <w:p w14:paraId="05C0ECB9">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见“3.6保安服务”“3.3公用设施设备维护服务”</w:t>
            </w:r>
          </w:p>
        </w:tc>
      </w:tr>
      <w:tr w14:paraId="3C0A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8" w:type="dxa"/>
            <w:vMerge w:val="continue"/>
            <w:noWrap w:val="0"/>
            <w:vAlign w:val="center"/>
          </w:tcPr>
          <w:p w14:paraId="3469E965">
            <w:pPr>
              <w:pageBreakBefore w:val="0"/>
              <w:kinsoku/>
              <w:wordWrap/>
              <w:overflowPunct/>
              <w:topLinePunct w:val="0"/>
              <w:bidi w:val="0"/>
              <w:snapToGrid w:val="0"/>
              <w:spacing w:line="300" w:lineRule="auto"/>
              <w:ind w:left="0" w:firstLine="0" w:firstLineChars="0"/>
              <w:jc w:val="both"/>
              <w:rPr>
                <w:rFonts w:hint="eastAsia" w:ascii="仿宋" w:hAnsi="仿宋" w:eastAsia="仿宋" w:cs="仿宋"/>
                <w:color w:val="auto"/>
                <w:sz w:val="28"/>
                <w:szCs w:val="28"/>
                <w:highlight w:val="none"/>
              </w:rPr>
            </w:pPr>
          </w:p>
        </w:tc>
        <w:tc>
          <w:tcPr>
            <w:tcW w:w="1725" w:type="dxa"/>
            <w:noWrap w:val="0"/>
            <w:vAlign w:val="center"/>
          </w:tcPr>
          <w:p w14:paraId="70CF0E03">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供配电系统</w:t>
            </w:r>
          </w:p>
        </w:tc>
        <w:tc>
          <w:tcPr>
            <w:tcW w:w="4142" w:type="dxa"/>
            <w:noWrap w:val="0"/>
            <w:vAlign w:val="center"/>
          </w:tcPr>
          <w:p w14:paraId="368A826A">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高压柜1个、低压柜数量10个</w:t>
            </w:r>
          </w:p>
        </w:tc>
        <w:tc>
          <w:tcPr>
            <w:tcW w:w="2670" w:type="dxa"/>
            <w:noWrap w:val="0"/>
            <w:vAlign w:val="center"/>
          </w:tcPr>
          <w:p w14:paraId="66C65943">
            <w:pPr>
              <w:pageBreakBefore w:val="0"/>
              <w:kinsoku/>
              <w:wordWrap/>
              <w:overflowPunct/>
              <w:topLinePunct w:val="0"/>
              <w:bidi w:val="0"/>
              <w:snapToGrid w:val="0"/>
              <w:spacing w:line="30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见“3.3公用设施设备维护服务”</w:t>
            </w:r>
          </w:p>
        </w:tc>
      </w:tr>
    </w:tbl>
    <w:p w14:paraId="248A5946">
      <w:pPr>
        <w:pStyle w:val="3"/>
        <w:bidi w:val="0"/>
        <w:rPr>
          <w:rFonts w:hint="eastAsia" w:ascii="仿宋" w:hAnsi="仿宋" w:eastAsia="仿宋" w:cs="仿宋"/>
          <w:color w:val="auto"/>
          <w:sz w:val="28"/>
          <w:szCs w:val="28"/>
          <w:highlight w:val="none"/>
          <w:lang w:val="en-US" w:eastAsia="zh-CN"/>
        </w:rPr>
      </w:pPr>
    </w:p>
    <w:p w14:paraId="51D07A53">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（2）物业服务（室外）</w:t>
      </w:r>
    </w:p>
    <w:tbl>
      <w:tblPr>
        <w:tblStyle w:val="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13"/>
        <w:gridCol w:w="3863"/>
      </w:tblGrid>
      <w:tr w14:paraId="0F2B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3BD79EAA">
            <w:pPr>
              <w:pageBreakBefore w:val="0"/>
              <w:kinsoku/>
              <w:wordWrap/>
              <w:overflowPunct/>
              <w:topLinePunct w:val="0"/>
              <w:bidi w:val="0"/>
              <w:snapToGrid w:val="0"/>
              <w:spacing w:line="300" w:lineRule="auto"/>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名称</w:t>
            </w:r>
          </w:p>
        </w:tc>
        <w:tc>
          <w:tcPr>
            <w:tcW w:w="3349" w:type="dxa"/>
            <w:noWrap w:val="0"/>
            <w:vAlign w:val="center"/>
          </w:tcPr>
          <w:p w14:paraId="1C90DF6C">
            <w:pPr>
              <w:pageBreakBefore w:val="0"/>
              <w:kinsoku/>
              <w:wordWrap/>
              <w:overflowPunct/>
              <w:topLinePunct w:val="0"/>
              <w:bidi w:val="0"/>
              <w:snapToGrid w:val="0"/>
              <w:spacing w:line="300" w:lineRule="auto"/>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rPr>
              <w:t>明细</w:t>
            </w:r>
          </w:p>
        </w:tc>
        <w:tc>
          <w:tcPr>
            <w:tcW w:w="4268" w:type="dxa"/>
            <w:noWrap w:val="0"/>
            <w:vAlign w:val="center"/>
          </w:tcPr>
          <w:p w14:paraId="44EB91E2">
            <w:pPr>
              <w:pageBreakBefore w:val="0"/>
              <w:kinsoku/>
              <w:wordWrap/>
              <w:overflowPunct/>
              <w:topLinePunct w:val="0"/>
              <w:bidi w:val="0"/>
              <w:snapToGrid w:val="0"/>
              <w:spacing w:line="30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服务内容及标准</w:t>
            </w:r>
          </w:p>
        </w:tc>
      </w:tr>
      <w:tr w14:paraId="4BE3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6D6156FF">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室外面积</w:t>
            </w:r>
          </w:p>
        </w:tc>
        <w:tc>
          <w:tcPr>
            <w:tcW w:w="3349" w:type="dxa"/>
            <w:noWrap w:val="0"/>
            <w:vAlign w:val="center"/>
          </w:tcPr>
          <w:p w14:paraId="6839D4A5">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室外面积：20000㎡</w:t>
            </w:r>
          </w:p>
        </w:tc>
        <w:tc>
          <w:tcPr>
            <w:tcW w:w="4268" w:type="dxa"/>
            <w:noWrap w:val="0"/>
            <w:vAlign w:val="center"/>
          </w:tcPr>
          <w:p w14:paraId="5DACF5E5">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“3.6保安服务”</w:t>
            </w:r>
          </w:p>
        </w:tc>
      </w:tr>
      <w:tr w14:paraId="2A31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5C440772">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rPr>
              <w:t>绿化</w:t>
            </w:r>
          </w:p>
        </w:tc>
        <w:tc>
          <w:tcPr>
            <w:tcW w:w="3349" w:type="dxa"/>
            <w:noWrap w:val="0"/>
            <w:vAlign w:val="center"/>
          </w:tcPr>
          <w:p w14:paraId="5F066E4C">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绿化面积：2300㎡</w:t>
            </w:r>
          </w:p>
        </w:tc>
        <w:tc>
          <w:tcPr>
            <w:tcW w:w="4268" w:type="dxa"/>
            <w:noWrap w:val="0"/>
            <w:vAlign w:val="center"/>
          </w:tcPr>
          <w:p w14:paraId="2A9E46F9">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见“3.4保洁服务”“3.5绿化服务”</w:t>
            </w:r>
          </w:p>
        </w:tc>
      </w:tr>
      <w:tr w14:paraId="73B9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1923CB64">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路灯、草坪灯、音响</w:t>
            </w:r>
          </w:p>
        </w:tc>
        <w:tc>
          <w:tcPr>
            <w:tcW w:w="3349" w:type="dxa"/>
            <w:noWrap w:val="0"/>
            <w:vAlign w:val="center"/>
          </w:tcPr>
          <w:p w14:paraId="16424A4A">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路灯数量36个</w:t>
            </w:r>
          </w:p>
        </w:tc>
        <w:tc>
          <w:tcPr>
            <w:tcW w:w="4268" w:type="dxa"/>
            <w:noWrap w:val="0"/>
            <w:vAlign w:val="center"/>
          </w:tcPr>
          <w:p w14:paraId="53D0DA67">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“3.3公用设施设备维护服务”</w:t>
            </w:r>
          </w:p>
        </w:tc>
      </w:tr>
      <w:tr w14:paraId="133B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1103BF1B">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消防栓</w:t>
            </w:r>
          </w:p>
        </w:tc>
        <w:tc>
          <w:tcPr>
            <w:tcW w:w="3349" w:type="dxa"/>
            <w:noWrap w:val="0"/>
            <w:vAlign w:val="center"/>
          </w:tcPr>
          <w:p w14:paraId="724DB946">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消防栓数量15个</w:t>
            </w:r>
          </w:p>
        </w:tc>
        <w:tc>
          <w:tcPr>
            <w:tcW w:w="4268" w:type="dxa"/>
            <w:noWrap w:val="0"/>
            <w:vAlign w:val="center"/>
          </w:tcPr>
          <w:p w14:paraId="34F64BD2">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“3.3公用设施设备维护服务”</w:t>
            </w:r>
          </w:p>
        </w:tc>
      </w:tr>
      <w:tr w14:paraId="2BE1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7C21D2A6">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垃圾箱</w:t>
            </w:r>
          </w:p>
        </w:tc>
        <w:tc>
          <w:tcPr>
            <w:tcW w:w="3349" w:type="dxa"/>
            <w:noWrap w:val="0"/>
            <w:vAlign w:val="center"/>
          </w:tcPr>
          <w:p w14:paraId="27993E8C">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垃圾箱数量2个</w:t>
            </w:r>
          </w:p>
        </w:tc>
        <w:tc>
          <w:tcPr>
            <w:tcW w:w="4268" w:type="dxa"/>
            <w:noWrap w:val="0"/>
            <w:vAlign w:val="center"/>
          </w:tcPr>
          <w:p w14:paraId="596BE914">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p>
        </w:tc>
      </w:tr>
      <w:tr w14:paraId="1D45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510001BA">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室外配电箱</w:t>
            </w:r>
          </w:p>
        </w:tc>
        <w:tc>
          <w:tcPr>
            <w:tcW w:w="3349" w:type="dxa"/>
            <w:noWrap w:val="0"/>
            <w:vAlign w:val="center"/>
          </w:tcPr>
          <w:p w14:paraId="51A60C0D">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室外配电箱数量2个</w:t>
            </w:r>
          </w:p>
        </w:tc>
        <w:tc>
          <w:tcPr>
            <w:tcW w:w="4268" w:type="dxa"/>
            <w:noWrap w:val="0"/>
            <w:vAlign w:val="center"/>
          </w:tcPr>
          <w:p w14:paraId="5375B8A3">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“3.3公用设施设备维护服务”</w:t>
            </w:r>
          </w:p>
        </w:tc>
      </w:tr>
      <w:tr w14:paraId="3A5AD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7C0DF3C9">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门前三包</w:t>
            </w:r>
          </w:p>
        </w:tc>
        <w:tc>
          <w:tcPr>
            <w:tcW w:w="3349" w:type="dxa"/>
            <w:noWrap w:val="0"/>
            <w:vAlign w:val="center"/>
          </w:tcPr>
          <w:p w14:paraId="3290342C">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门前三包面积2000㎡</w:t>
            </w:r>
          </w:p>
        </w:tc>
        <w:tc>
          <w:tcPr>
            <w:tcW w:w="4268" w:type="dxa"/>
            <w:noWrap w:val="0"/>
            <w:vAlign w:val="center"/>
          </w:tcPr>
          <w:p w14:paraId="1F4BD12A">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p>
        </w:tc>
      </w:tr>
      <w:tr w14:paraId="1A14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776" w:type="dxa"/>
            <w:noWrap w:val="0"/>
            <w:vAlign w:val="center"/>
          </w:tcPr>
          <w:p w14:paraId="1DDC5D0E">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监控</w:t>
            </w:r>
          </w:p>
        </w:tc>
        <w:tc>
          <w:tcPr>
            <w:tcW w:w="3349" w:type="dxa"/>
            <w:noWrap w:val="0"/>
            <w:vAlign w:val="center"/>
          </w:tcPr>
          <w:p w14:paraId="3A824701">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监控数量：600路</w:t>
            </w:r>
          </w:p>
        </w:tc>
        <w:tc>
          <w:tcPr>
            <w:tcW w:w="4268" w:type="dxa"/>
            <w:noWrap w:val="0"/>
            <w:vAlign w:val="center"/>
          </w:tcPr>
          <w:p w14:paraId="7AF5F6A7">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“3.3公用设施设备维护服务”</w:t>
            </w:r>
          </w:p>
        </w:tc>
      </w:tr>
      <w:tr w14:paraId="0A7F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76" w:type="dxa"/>
            <w:noWrap w:val="0"/>
            <w:vAlign w:val="center"/>
          </w:tcPr>
          <w:p w14:paraId="66AC581D">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指示牌、显示屏</w:t>
            </w:r>
          </w:p>
        </w:tc>
        <w:tc>
          <w:tcPr>
            <w:tcW w:w="3349" w:type="dxa"/>
            <w:noWrap w:val="0"/>
            <w:vAlign w:val="center"/>
          </w:tcPr>
          <w:p w14:paraId="4F1A42A5">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指示牌、显示屏数量2个</w:t>
            </w:r>
          </w:p>
        </w:tc>
        <w:tc>
          <w:tcPr>
            <w:tcW w:w="4268" w:type="dxa"/>
            <w:noWrap w:val="0"/>
            <w:vAlign w:val="center"/>
          </w:tcPr>
          <w:p w14:paraId="7B2E2446">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见“3.4保洁服务”</w:t>
            </w:r>
            <w:r>
              <w:rPr>
                <w:rFonts w:hint="eastAsia" w:ascii="仿宋" w:hAnsi="仿宋" w:eastAsia="仿宋" w:cs="仿宋"/>
                <w:color w:val="auto"/>
                <w:sz w:val="28"/>
                <w:szCs w:val="28"/>
                <w:highlight w:val="none"/>
                <w:lang w:val="en-US" w:eastAsia="zh-CN"/>
              </w:rPr>
              <w:t>“3.3公用设施设备维护服务”</w:t>
            </w:r>
          </w:p>
        </w:tc>
      </w:tr>
    </w:tbl>
    <w:p w14:paraId="57F4ED55">
      <w:pPr>
        <w:pStyle w:val="2"/>
        <w:bidi w:val="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3.物业服务内容及标准</w:t>
      </w:r>
    </w:p>
    <w:p w14:paraId="59F7290C">
      <w:pPr>
        <w:pageBreakBefore w:val="0"/>
        <w:kinsoku/>
        <w:wordWrap/>
        <w:overflowPunct/>
        <w:topLinePunct w:val="0"/>
        <w:bidi w:val="0"/>
        <w:snapToGrid w:val="0"/>
        <w:spacing w:line="300" w:lineRule="auto"/>
        <w:ind w:firstLine="560" w:firstLineChars="200"/>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物业服务包括基本服务、房屋维护服务、公用设施设备维护服务、保洁服务、绿化服务、保安服务、会议服务等。</w:t>
      </w:r>
    </w:p>
    <w:bookmarkEnd w:id="1"/>
    <w:bookmarkEnd w:id="2"/>
    <w:p w14:paraId="27731AF6">
      <w:pPr>
        <w:pStyle w:val="3"/>
        <w:jc w:val="left"/>
        <w:rPr>
          <w:rFonts w:hint="eastAsia" w:ascii="仿宋" w:hAnsi="仿宋" w:eastAsia="仿宋" w:cs="仿宋"/>
          <w:color w:val="auto"/>
          <w:kern w:val="2"/>
          <w:sz w:val="28"/>
          <w:szCs w:val="28"/>
          <w:highlight w:val="none"/>
          <w:u w:val="none"/>
          <w:lang w:val="en-US" w:eastAsia="zh-CN" w:bidi="ar"/>
        </w:rPr>
      </w:pPr>
      <w:bookmarkStart w:id="3" w:name="_Toc26485"/>
      <w:bookmarkStart w:id="4" w:name="_Toc26156"/>
      <w:bookmarkStart w:id="5" w:name="_Toc10498"/>
      <w:r>
        <w:rPr>
          <w:rFonts w:hint="eastAsia" w:ascii="仿宋" w:hAnsi="仿宋" w:eastAsia="仿宋" w:cs="仿宋"/>
          <w:color w:val="auto"/>
          <w:sz w:val="28"/>
          <w:szCs w:val="28"/>
          <w:highlight w:val="none"/>
          <w:u w:val="none"/>
          <w:lang w:val="en-US" w:eastAsia="zh-CN"/>
        </w:rPr>
        <w:t>3.</w:t>
      </w:r>
      <w:bookmarkEnd w:id="3"/>
      <w:bookmarkEnd w:id="4"/>
      <w:bookmarkEnd w:id="5"/>
      <w:r>
        <w:rPr>
          <w:rFonts w:hint="eastAsia" w:ascii="仿宋" w:hAnsi="仿宋" w:eastAsia="仿宋" w:cs="仿宋"/>
          <w:color w:val="auto"/>
          <w:kern w:val="2"/>
          <w:sz w:val="28"/>
          <w:szCs w:val="28"/>
          <w:highlight w:val="none"/>
          <w:u w:val="none"/>
          <w:lang w:val="en-US" w:eastAsia="zh-CN" w:bidi="ar"/>
        </w:rPr>
        <w:t>1基本服务</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2943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noWrap w:val="0"/>
            <w:vAlign w:val="center"/>
          </w:tcPr>
          <w:p w14:paraId="4A445510">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129" w:type="dxa"/>
            <w:noWrap w:val="0"/>
            <w:vAlign w:val="center"/>
          </w:tcPr>
          <w:p w14:paraId="1946E688">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467" w:type="dxa"/>
            <w:noWrap w:val="0"/>
            <w:vAlign w:val="center"/>
          </w:tcPr>
          <w:p w14:paraId="7E191F8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5C3D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restart"/>
            <w:noWrap w:val="0"/>
            <w:vAlign w:val="center"/>
          </w:tcPr>
          <w:p w14:paraId="11428E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29" w:type="dxa"/>
            <w:vMerge w:val="restart"/>
            <w:noWrap w:val="0"/>
            <w:vAlign w:val="center"/>
          </w:tcPr>
          <w:p w14:paraId="2D8DD5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目标与责任</w:t>
            </w:r>
          </w:p>
        </w:tc>
        <w:tc>
          <w:tcPr>
            <w:tcW w:w="6467" w:type="dxa"/>
            <w:noWrap w:val="0"/>
            <w:vAlign w:val="center"/>
          </w:tcPr>
          <w:p w14:paraId="74037A3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（1）结合采购人要求及物业服务实际情况，制定年度管理目标，明确责任分工，并制定配套实施方案。</w:t>
            </w:r>
          </w:p>
        </w:tc>
      </w:tr>
      <w:tr w14:paraId="6F71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7CDBB8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29" w:type="dxa"/>
            <w:vMerge w:val="restart"/>
            <w:noWrap w:val="0"/>
            <w:vAlign w:val="center"/>
          </w:tcPr>
          <w:p w14:paraId="5DDB52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服务人员要求</w:t>
            </w:r>
          </w:p>
        </w:tc>
        <w:tc>
          <w:tcPr>
            <w:tcW w:w="6467" w:type="dxa"/>
            <w:noWrap w:val="0"/>
            <w:vAlign w:val="center"/>
          </w:tcPr>
          <w:p w14:paraId="5C062EC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（1）每季度至少开展1次岗位技能、职业素质、服务知识、客户文化、绿色节能环保等教育培训，并进行适当形式的考核。</w:t>
            </w:r>
          </w:p>
        </w:tc>
      </w:tr>
      <w:tr w14:paraId="54A2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5A2E6FC7">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445ED169">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1594064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（2）根据采购人要求对服务人员进行从业资格审查，审查结果向采购人报备。</w:t>
            </w:r>
          </w:p>
        </w:tc>
      </w:tr>
      <w:tr w14:paraId="7F73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EA3EF07">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33D14A5E">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25F1673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w:t>
            </w:r>
            <w:r>
              <w:rPr>
                <w:rFonts w:hint="eastAsia" w:ascii="仿宋" w:hAnsi="仿宋" w:eastAsia="仿宋" w:cs="仿宋"/>
                <w:bCs/>
                <w:color w:val="auto"/>
                <w:sz w:val="28"/>
                <w:szCs w:val="28"/>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05EE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5ECC30AC">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73E01F3D">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642A6B1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w:t>
            </w:r>
            <w:r>
              <w:rPr>
                <w:rFonts w:hint="eastAsia" w:ascii="仿宋" w:hAnsi="仿宋" w:eastAsia="仿宋" w:cs="仿宋"/>
                <w:bCs/>
                <w:color w:val="auto"/>
                <w:sz w:val="28"/>
                <w:szCs w:val="28"/>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0AAA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735C2C80">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0AC29D86">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42CCBC4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（5）着装分类统一，佩戴标识。仪容整洁、姿态端正、举止文明。用语文明礼貌，态度温和耐心。</w:t>
            </w:r>
          </w:p>
        </w:tc>
      </w:tr>
      <w:tr w14:paraId="7EE4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434BEB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129" w:type="dxa"/>
            <w:vMerge w:val="restart"/>
            <w:noWrap w:val="0"/>
            <w:vAlign w:val="center"/>
          </w:tcPr>
          <w:p w14:paraId="0CBE47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保密和思想政治教育</w:t>
            </w:r>
          </w:p>
        </w:tc>
        <w:tc>
          <w:tcPr>
            <w:tcW w:w="6467" w:type="dxa"/>
            <w:noWrap w:val="0"/>
            <w:vAlign w:val="center"/>
          </w:tcPr>
          <w:p w14:paraId="437052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（1）建立保密管理制度。制度内容应当包括但不限于：①明确重点要害岗位保密职责。②对涉密工作岗位的保密要求。</w:t>
            </w:r>
          </w:p>
        </w:tc>
      </w:tr>
      <w:tr w14:paraId="4D65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068929D4">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4B052D44">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36F4CF3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（2）根据采购人要求与涉密工作岗位的服务人员签订保密协议。保密协议应当向采购人报备。</w:t>
            </w:r>
          </w:p>
        </w:tc>
      </w:tr>
      <w:tr w14:paraId="6FF5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077EBB13">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7D0DDD48">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55A53A4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每季度至少开展1次对服务人员进行保密、思想政治教育的培训，增强服务人员保密意识和思想政治意识。新入职员工应当接受保密、思想政治教育培训，进行必要的人员经历审查，合格后签订保密协议方可上岗。</w:t>
            </w:r>
          </w:p>
        </w:tc>
      </w:tr>
      <w:tr w14:paraId="36EA2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76DC8A7F">
            <w:pPr>
              <w:bidi w:val="0"/>
              <w:jc w:val="center"/>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47EA084E">
            <w:pPr>
              <w:bidi w:val="0"/>
              <w:rPr>
                <w:rFonts w:hint="eastAsia" w:ascii="仿宋" w:hAnsi="仿宋" w:eastAsia="仿宋" w:cs="仿宋"/>
                <w:color w:val="auto"/>
                <w:sz w:val="28"/>
                <w:szCs w:val="28"/>
                <w:highlight w:val="none"/>
                <w:lang w:val="en-US" w:eastAsia="zh-CN"/>
              </w:rPr>
            </w:pPr>
          </w:p>
        </w:tc>
        <w:tc>
          <w:tcPr>
            <w:tcW w:w="6467" w:type="dxa"/>
            <w:noWrap w:val="0"/>
            <w:vAlign w:val="center"/>
          </w:tcPr>
          <w:p w14:paraId="78BA63D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（4）发现服务人员违法违规或重大过失，及时报告采购人，并采取必要补救措施。</w:t>
            </w:r>
          </w:p>
        </w:tc>
      </w:tr>
      <w:tr w14:paraId="6239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3DE0B3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129" w:type="dxa"/>
            <w:vMerge w:val="restart"/>
            <w:noWrap w:val="0"/>
            <w:vAlign w:val="center"/>
          </w:tcPr>
          <w:p w14:paraId="74EDC5A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档案管理</w:t>
            </w:r>
          </w:p>
        </w:tc>
        <w:tc>
          <w:tcPr>
            <w:tcW w:w="6467" w:type="dxa"/>
            <w:noWrap w:val="0"/>
            <w:vAlign w:val="center"/>
          </w:tcPr>
          <w:p w14:paraId="60C1291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（1）建立物业信息，准确、及时地对文件资料和服务记录进行归档保存，并确保其物理安全。</w:t>
            </w:r>
          </w:p>
        </w:tc>
      </w:tr>
      <w:tr w14:paraId="4837B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9564845">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54028CD5">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28252A5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 w:hAnsi="仿宋" w:eastAsia="仿宋" w:cs="仿宋"/>
                <w:color w:val="auto"/>
                <w:kern w:val="0"/>
                <w:sz w:val="28"/>
                <w:szCs w:val="28"/>
                <w:highlight w:val="none"/>
              </w:rPr>
              <w:t>设施设备安全运行、设施设备定期巡检、维护保养、维修档案</w:t>
            </w:r>
            <w:r>
              <w:rPr>
                <w:rFonts w:hint="eastAsia" w:ascii="仿宋" w:hAnsi="仿宋" w:eastAsia="仿宋" w:cs="仿宋"/>
                <w:b w:val="0"/>
                <w:bCs w:val="0"/>
                <w:color w:val="auto"/>
                <w:kern w:val="0"/>
                <w:sz w:val="28"/>
                <w:szCs w:val="28"/>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3915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ABD72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7570DA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200B913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（3）遵守采购人的信息、档案资料保密要求，未经许可，不得将建筑物平面图等资料转作其他用途或向其他单位、个人提供。</w:t>
            </w:r>
          </w:p>
        </w:tc>
      </w:tr>
      <w:tr w14:paraId="5C89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6D8DD3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05E24F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47C951F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（4）履约结束后，相关资料交还采购人，采购人按政府采购相关规定存档。</w:t>
            </w:r>
          </w:p>
        </w:tc>
      </w:tr>
      <w:tr w14:paraId="3E04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1298F0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129" w:type="dxa"/>
            <w:vMerge w:val="restart"/>
            <w:noWrap w:val="0"/>
            <w:vAlign w:val="center"/>
          </w:tcPr>
          <w:p w14:paraId="18E06A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服务改进</w:t>
            </w:r>
          </w:p>
          <w:p w14:paraId="25B499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3405E7E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rPr>
              <w:t>（1）明确负责人，定期对物业服务过程进行自查，结合反馈意见与评价结果采取改进措施，持续提升管理与服务水平。</w:t>
            </w:r>
          </w:p>
        </w:tc>
      </w:tr>
      <w:tr w14:paraId="4596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EBDFA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5E3BA0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5A9A0AD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（2）对不合格服务进行控制，对不合格服务的原因进行识别和分析，及时采取纠正措施，消除不合格的原因，防止不合格再发生。</w:t>
            </w:r>
          </w:p>
        </w:tc>
      </w:tr>
      <w:tr w14:paraId="093F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1EB605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565B82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49F6C7E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（3）需整改问题及时整改完成。</w:t>
            </w:r>
          </w:p>
        </w:tc>
      </w:tr>
      <w:tr w14:paraId="2E5EB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042FAF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129" w:type="dxa"/>
            <w:vMerge w:val="restart"/>
            <w:noWrap w:val="0"/>
            <w:vAlign w:val="center"/>
          </w:tcPr>
          <w:p w14:paraId="09898A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重大活动后勤保障</w:t>
            </w:r>
          </w:p>
        </w:tc>
        <w:tc>
          <w:tcPr>
            <w:tcW w:w="6467" w:type="dxa"/>
            <w:noWrap w:val="0"/>
            <w:vAlign w:val="center"/>
          </w:tcPr>
          <w:p w14:paraId="0709A38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（1）制订流程。配合采购人制订重大活动后勤保障工作流程，需对任务进行详细了解，并根据工作安排制定详细的后勤保障计划。</w:t>
            </w:r>
          </w:p>
        </w:tc>
      </w:tr>
      <w:tr w14:paraId="0BE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9E97102">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21EA7C52">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03AE0AA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7446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0F0A7759">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1A5A8229">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5FFFCA5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（3）收尾工作。对现场进行检查，做好清理工作。</w:t>
            </w:r>
          </w:p>
        </w:tc>
      </w:tr>
      <w:tr w14:paraId="4B87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2199C9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7</w:t>
            </w:r>
          </w:p>
        </w:tc>
        <w:tc>
          <w:tcPr>
            <w:tcW w:w="2129" w:type="dxa"/>
            <w:vMerge w:val="restart"/>
            <w:noWrap w:val="0"/>
            <w:vAlign w:val="center"/>
          </w:tcPr>
          <w:p w14:paraId="7BB9A2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lang w:val="en-US" w:eastAsia="zh-CN"/>
              </w:rPr>
              <w:t>应急保障预案</w:t>
            </w:r>
          </w:p>
        </w:tc>
        <w:tc>
          <w:tcPr>
            <w:tcW w:w="6467" w:type="dxa"/>
            <w:noWrap w:val="0"/>
            <w:vAlign w:val="center"/>
          </w:tcPr>
          <w:p w14:paraId="20E21895">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仿宋" w:hAnsi="仿宋" w:eastAsia="仿宋" w:cs="仿宋"/>
                <w:color w:val="auto"/>
                <w:sz w:val="28"/>
                <w:szCs w:val="28"/>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37A9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06742F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8"/>
                <w:szCs w:val="28"/>
                <w:highlight w:val="none"/>
                <w:lang w:val="en-US" w:eastAsia="zh-CN"/>
              </w:rPr>
            </w:pPr>
          </w:p>
        </w:tc>
        <w:tc>
          <w:tcPr>
            <w:tcW w:w="2129" w:type="dxa"/>
            <w:vMerge w:val="continue"/>
            <w:noWrap w:val="0"/>
            <w:vAlign w:val="center"/>
          </w:tcPr>
          <w:p w14:paraId="1DD8AE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0"/>
                <w:sz w:val="28"/>
                <w:szCs w:val="28"/>
                <w:highlight w:val="none"/>
                <w:lang w:val="en-US" w:eastAsia="zh-CN"/>
              </w:rPr>
            </w:pPr>
          </w:p>
        </w:tc>
        <w:tc>
          <w:tcPr>
            <w:tcW w:w="6467" w:type="dxa"/>
            <w:noWrap w:val="0"/>
            <w:vAlign w:val="center"/>
          </w:tcPr>
          <w:p w14:paraId="34BE59A6">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仿宋" w:hAnsi="仿宋" w:eastAsia="仿宋" w:cs="仿宋"/>
                <w:color w:val="auto"/>
                <w:sz w:val="28"/>
                <w:szCs w:val="28"/>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242C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EA1E5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8"/>
                <w:szCs w:val="28"/>
                <w:highlight w:val="none"/>
                <w:lang w:val="en-US" w:eastAsia="zh-CN"/>
              </w:rPr>
            </w:pPr>
          </w:p>
        </w:tc>
        <w:tc>
          <w:tcPr>
            <w:tcW w:w="2129" w:type="dxa"/>
            <w:vMerge w:val="continue"/>
            <w:noWrap w:val="0"/>
            <w:vAlign w:val="center"/>
          </w:tcPr>
          <w:p w14:paraId="472C84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kern w:val="0"/>
                <w:sz w:val="28"/>
                <w:szCs w:val="28"/>
                <w:highlight w:val="none"/>
                <w:lang w:val="en-US" w:eastAsia="zh-CN"/>
              </w:rPr>
            </w:pPr>
          </w:p>
        </w:tc>
        <w:tc>
          <w:tcPr>
            <w:tcW w:w="6467" w:type="dxa"/>
            <w:noWrap w:val="0"/>
            <w:vAlign w:val="center"/>
          </w:tcPr>
          <w:p w14:paraId="739921B8">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（3）</w:t>
            </w:r>
            <w:r>
              <w:rPr>
                <w:rFonts w:hint="eastAsia" w:ascii="仿宋" w:hAnsi="仿宋" w:eastAsia="仿宋" w:cs="仿宋"/>
                <w:color w:val="auto"/>
                <w:sz w:val="28"/>
                <w:szCs w:val="28"/>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635E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94" w:type="dxa"/>
            <w:vMerge w:val="continue"/>
            <w:noWrap w:val="0"/>
            <w:vAlign w:val="center"/>
          </w:tcPr>
          <w:p w14:paraId="5482CD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kern w:val="0"/>
                <w:sz w:val="28"/>
                <w:szCs w:val="28"/>
                <w:highlight w:val="none"/>
                <w:lang w:val="en-US" w:eastAsia="zh-CN"/>
              </w:rPr>
            </w:pPr>
          </w:p>
        </w:tc>
        <w:tc>
          <w:tcPr>
            <w:tcW w:w="2129" w:type="dxa"/>
            <w:vMerge w:val="continue"/>
            <w:noWrap w:val="0"/>
            <w:vAlign w:val="center"/>
          </w:tcPr>
          <w:p w14:paraId="2E594C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2D3BF4A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w:t>
            </w:r>
            <w:r>
              <w:rPr>
                <w:rFonts w:hint="eastAsia" w:ascii="仿宋" w:hAnsi="仿宋" w:eastAsia="仿宋" w:cs="仿宋"/>
                <w:color w:val="auto"/>
                <w:sz w:val="28"/>
                <w:szCs w:val="28"/>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7C28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6BBFD1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129" w:type="dxa"/>
            <w:vMerge w:val="restart"/>
            <w:noWrap w:val="0"/>
            <w:vAlign w:val="center"/>
          </w:tcPr>
          <w:p w14:paraId="2E06EF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服务方案及工作制度</w:t>
            </w:r>
          </w:p>
        </w:tc>
        <w:tc>
          <w:tcPr>
            <w:tcW w:w="6467" w:type="dxa"/>
            <w:noWrap w:val="0"/>
            <w:vAlign w:val="center"/>
          </w:tcPr>
          <w:p w14:paraId="41F3549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Cs/>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（1）制定工作制度，</w:t>
            </w:r>
            <w:r>
              <w:rPr>
                <w:rFonts w:hint="eastAsia" w:ascii="仿宋" w:hAnsi="仿宋" w:eastAsia="仿宋" w:cs="仿宋"/>
                <w:bCs/>
                <w:color w:val="auto"/>
                <w:sz w:val="28"/>
                <w:szCs w:val="28"/>
                <w:highlight w:val="none"/>
                <w:lang w:eastAsia="zh-CN"/>
              </w:rPr>
              <w:t>主要</w:t>
            </w:r>
            <w:r>
              <w:rPr>
                <w:rFonts w:hint="eastAsia" w:ascii="仿宋" w:hAnsi="仿宋" w:eastAsia="仿宋" w:cs="仿宋"/>
                <w:bCs/>
                <w:color w:val="auto"/>
                <w:sz w:val="28"/>
                <w:szCs w:val="28"/>
                <w:highlight w:val="none"/>
              </w:rPr>
              <w:t>包括：</w:t>
            </w:r>
            <w:r>
              <w:rPr>
                <w:rFonts w:hint="eastAsia" w:ascii="仿宋" w:hAnsi="仿宋" w:eastAsia="仿宋" w:cs="仿宋"/>
                <w:bCs/>
                <w:color w:val="auto"/>
                <w:sz w:val="28"/>
                <w:szCs w:val="28"/>
                <w:highlight w:val="none"/>
                <w:lang w:val="en-US" w:eastAsia="zh-CN"/>
              </w:rPr>
              <w:t>人员录用制度、</w:t>
            </w:r>
            <w:r>
              <w:rPr>
                <w:rFonts w:hint="eastAsia" w:ascii="仿宋" w:hAnsi="仿宋" w:eastAsia="仿宋" w:cs="仿宋"/>
                <w:b w:val="0"/>
                <w:bCs w:val="0"/>
                <w:color w:val="auto"/>
                <w:kern w:val="0"/>
                <w:sz w:val="28"/>
                <w:szCs w:val="28"/>
                <w:highlight w:val="none"/>
                <w:lang w:val="en-US" w:eastAsia="zh-CN"/>
              </w:rPr>
              <w:t>档案管理制度、</w:t>
            </w:r>
            <w:r>
              <w:rPr>
                <w:rFonts w:hint="eastAsia" w:ascii="仿宋" w:hAnsi="仿宋" w:eastAsia="仿宋" w:cs="仿宋"/>
                <w:bCs/>
                <w:color w:val="auto"/>
                <w:sz w:val="28"/>
                <w:szCs w:val="28"/>
                <w:highlight w:val="none"/>
              </w:rPr>
              <w:t>物业服务管理制度</w:t>
            </w:r>
            <w:r>
              <w:rPr>
                <w:rFonts w:hint="eastAsia" w:ascii="仿宋" w:hAnsi="仿宋" w:eastAsia="仿宋" w:cs="仿宋"/>
                <w:bCs/>
                <w:color w:val="auto"/>
                <w:sz w:val="28"/>
                <w:szCs w:val="28"/>
                <w:highlight w:val="none"/>
                <w:lang w:eastAsia="zh-CN"/>
              </w:rPr>
              <w:t>、</w:t>
            </w:r>
            <w:r>
              <w:rPr>
                <w:rFonts w:hint="eastAsia" w:ascii="仿宋" w:hAnsi="仿宋" w:eastAsia="仿宋" w:cs="仿宋"/>
                <w:b w:val="0"/>
                <w:bCs w:val="0"/>
                <w:color w:val="auto"/>
                <w:kern w:val="0"/>
                <w:sz w:val="28"/>
                <w:szCs w:val="28"/>
                <w:highlight w:val="none"/>
                <w:lang w:val="en-US" w:eastAsia="zh-CN"/>
              </w:rPr>
              <w:t>公用设施设备相关管理制度等</w:t>
            </w:r>
            <w:r>
              <w:rPr>
                <w:rFonts w:hint="eastAsia" w:ascii="仿宋" w:hAnsi="仿宋" w:eastAsia="仿宋" w:cs="仿宋"/>
                <w:bCs/>
                <w:color w:val="auto"/>
                <w:sz w:val="28"/>
                <w:szCs w:val="28"/>
                <w:highlight w:val="none"/>
                <w:lang w:eastAsia="zh-CN"/>
              </w:rPr>
              <w:t>。</w:t>
            </w:r>
          </w:p>
        </w:tc>
      </w:tr>
      <w:tr w14:paraId="4606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B4B87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585432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4F57A32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（2）制定</w:t>
            </w:r>
            <w:r>
              <w:rPr>
                <w:rFonts w:hint="eastAsia" w:ascii="仿宋" w:hAnsi="仿宋" w:eastAsia="仿宋" w:cs="仿宋"/>
                <w:bCs/>
                <w:color w:val="auto"/>
                <w:sz w:val="28"/>
                <w:szCs w:val="28"/>
                <w:highlight w:val="none"/>
              </w:rPr>
              <w:t>项目实施方案</w:t>
            </w:r>
            <w:r>
              <w:rPr>
                <w:rFonts w:hint="eastAsia" w:ascii="仿宋" w:hAnsi="仿宋" w:eastAsia="仿宋" w:cs="仿宋"/>
                <w:bCs/>
                <w:color w:val="auto"/>
                <w:sz w:val="28"/>
                <w:szCs w:val="28"/>
                <w:highlight w:val="none"/>
                <w:lang w:eastAsia="zh-CN"/>
              </w:rPr>
              <w:t>，主要</w:t>
            </w:r>
            <w:r>
              <w:rPr>
                <w:rFonts w:hint="eastAsia" w:ascii="仿宋" w:hAnsi="仿宋" w:eastAsia="仿宋" w:cs="仿宋"/>
                <w:bCs/>
                <w:color w:val="auto"/>
                <w:sz w:val="28"/>
                <w:szCs w:val="28"/>
                <w:highlight w:val="none"/>
              </w:rPr>
              <w:t>包括：</w:t>
            </w:r>
            <w:r>
              <w:rPr>
                <w:rFonts w:hint="eastAsia" w:ascii="仿宋" w:hAnsi="仿宋" w:eastAsia="仿宋" w:cs="仿宋"/>
                <w:bCs/>
                <w:color w:val="auto"/>
                <w:sz w:val="28"/>
                <w:szCs w:val="28"/>
                <w:highlight w:val="none"/>
                <w:lang w:val="en-US" w:eastAsia="zh-CN"/>
              </w:rPr>
              <w:t>交接</w:t>
            </w:r>
            <w:r>
              <w:rPr>
                <w:rFonts w:hint="eastAsia" w:ascii="仿宋" w:hAnsi="仿宋" w:eastAsia="仿宋" w:cs="仿宋"/>
                <w:bCs/>
                <w:color w:val="auto"/>
                <w:sz w:val="28"/>
                <w:szCs w:val="28"/>
                <w:highlight w:val="none"/>
              </w:rPr>
              <w:t>方案、人员培训方案、人员稳定性方案、保密方案</w:t>
            </w:r>
            <w:r>
              <w:rPr>
                <w:rFonts w:hint="eastAsia" w:ascii="仿宋" w:hAnsi="仿宋" w:eastAsia="仿宋" w:cs="仿宋"/>
                <w:bCs/>
                <w:color w:val="auto"/>
                <w:sz w:val="28"/>
                <w:szCs w:val="28"/>
                <w:highlight w:val="none"/>
                <w:lang w:eastAsia="zh-CN"/>
              </w:rPr>
              <w:t>等</w:t>
            </w:r>
            <w:r>
              <w:rPr>
                <w:rFonts w:hint="eastAsia" w:ascii="仿宋" w:hAnsi="仿宋" w:eastAsia="仿宋" w:cs="仿宋"/>
                <w:bCs/>
                <w:color w:val="auto"/>
                <w:sz w:val="28"/>
                <w:szCs w:val="28"/>
                <w:highlight w:val="none"/>
              </w:rPr>
              <w:t>。</w:t>
            </w:r>
          </w:p>
        </w:tc>
      </w:tr>
      <w:tr w14:paraId="7B72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94" w:type="dxa"/>
            <w:vMerge w:val="continue"/>
            <w:noWrap w:val="0"/>
            <w:vAlign w:val="center"/>
          </w:tcPr>
          <w:p w14:paraId="3F4D1B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0F0A03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11A93DD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（3）制定</w:t>
            </w:r>
            <w:r>
              <w:rPr>
                <w:rFonts w:hint="eastAsia" w:ascii="仿宋" w:hAnsi="仿宋" w:eastAsia="仿宋" w:cs="仿宋"/>
                <w:bCs/>
                <w:color w:val="auto"/>
                <w:sz w:val="28"/>
                <w:szCs w:val="28"/>
                <w:highlight w:val="none"/>
              </w:rPr>
              <w:t>物业服务方案</w:t>
            </w:r>
            <w:r>
              <w:rPr>
                <w:rFonts w:hint="eastAsia" w:ascii="仿宋" w:hAnsi="仿宋" w:eastAsia="仿宋" w:cs="仿宋"/>
                <w:bCs/>
                <w:color w:val="auto"/>
                <w:sz w:val="28"/>
                <w:szCs w:val="28"/>
                <w:highlight w:val="none"/>
                <w:lang w:eastAsia="zh-CN"/>
              </w:rPr>
              <w:t>，主要</w:t>
            </w:r>
            <w:r>
              <w:rPr>
                <w:rFonts w:hint="eastAsia" w:ascii="仿宋" w:hAnsi="仿宋" w:eastAsia="仿宋" w:cs="仿宋"/>
                <w:bCs/>
                <w:color w:val="auto"/>
                <w:sz w:val="28"/>
                <w:szCs w:val="28"/>
                <w:highlight w:val="none"/>
              </w:rPr>
              <w:t>包括：</w:t>
            </w:r>
            <w:r>
              <w:rPr>
                <w:rFonts w:hint="eastAsia" w:ascii="仿宋" w:hAnsi="仿宋" w:eastAsia="仿宋" w:cs="仿宋"/>
                <w:bCs/>
                <w:color w:val="auto"/>
                <w:sz w:val="28"/>
                <w:szCs w:val="28"/>
                <w:highlight w:val="none"/>
                <w:lang w:val="en-US" w:eastAsia="zh-CN"/>
              </w:rPr>
              <w:t>房屋维护服务方案、公用设施设备维护服务方案、</w:t>
            </w:r>
            <w:r>
              <w:rPr>
                <w:rFonts w:hint="eastAsia" w:ascii="仿宋" w:hAnsi="仿宋" w:eastAsia="仿宋" w:cs="仿宋"/>
                <w:bCs/>
                <w:color w:val="auto"/>
                <w:sz w:val="28"/>
                <w:szCs w:val="28"/>
                <w:highlight w:val="none"/>
              </w:rPr>
              <w:t>绿化</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方案</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保洁服务方案、</w:t>
            </w:r>
            <w:r>
              <w:rPr>
                <w:rFonts w:hint="eastAsia" w:ascii="仿宋" w:hAnsi="仿宋" w:eastAsia="仿宋" w:cs="仿宋"/>
                <w:bCs/>
                <w:color w:val="auto"/>
                <w:sz w:val="28"/>
                <w:szCs w:val="28"/>
                <w:highlight w:val="none"/>
                <w:lang w:val="en-US" w:eastAsia="zh-CN"/>
              </w:rPr>
              <w:t>保安</w:t>
            </w:r>
            <w:r>
              <w:rPr>
                <w:rFonts w:hint="eastAsia" w:ascii="仿宋" w:hAnsi="仿宋" w:eastAsia="仿宋" w:cs="仿宋"/>
                <w:bCs/>
                <w:color w:val="auto"/>
                <w:sz w:val="28"/>
                <w:szCs w:val="28"/>
                <w:highlight w:val="none"/>
              </w:rPr>
              <w:t>服务方案、会议服务方案</w:t>
            </w:r>
            <w:r>
              <w:rPr>
                <w:rFonts w:hint="eastAsia" w:ascii="仿宋" w:hAnsi="仿宋" w:eastAsia="仿宋" w:cs="仿宋"/>
                <w:bCs/>
                <w:color w:val="auto"/>
                <w:sz w:val="28"/>
                <w:szCs w:val="28"/>
                <w:highlight w:val="none"/>
                <w:lang w:val="en-US" w:eastAsia="zh-CN"/>
              </w:rPr>
              <w:t>等</w:t>
            </w:r>
            <w:r>
              <w:rPr>
                <w:rFonts w:hint="eastAsia" w:ascii="仿宋" w:hAnsi="仿宋" w:eastAsia="仿宋" w:cs="仿宋"/>
                <w:bCs/>
                <w:color w:val="auto"/>
                <w:sz w:val="28"/>
                <w:szCs w:val="28"/>
                <w:highlight w:val="none"/>
              </w:rPr>
              <w:t>。</w:t>
            </w:r>
          </w:p>
        </w:tc>
      </w:tr>
      <w:tr w14:paraId="1A4D1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18DA1C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129" w:type="dxa"/>
            <w:vMerge w:val="restart"/>
            <w:noWrap w:val="0"/>
            <w:vAlign w:val="center"/>
          </w:tcPr>
          <w:p w14:paraId="29827E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信报服务</w:t>
            </w:r>
          </w:p>
        </w:tc>
        <w:tc>
          <w:tcPr>
            <w:tcW w:w="6467" w:type="dxa"/>
            <w:noWrap w:val="0"/>
            <w:vAlign w:val="center"/>
          </w:tcPr>
          <w:p w14:paraId="607798E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rPr>
              <w:t>（1）对邮件、包裹和挂号信等进行正确分理、安全检查和防疫卫生检查。</w:t>
            </w:r>
          </w:p>
        </w:tc>
      </w:tr>
      <w:tr w14:paraId="0752E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8763C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479F34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454537D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rPr>
              <w:t>（2）及时投送或通知收件人领取。</w:t>
            </w:r>
          </w:p>
        </w:tc>
      </w:tr>
      <w:tr w14:paraId="2ED9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794" w:type="dxa"/>
            <w:vMerge w:val="continue"/>
            <w:noWrap w:val="0"/>
            <w:vAlign w:val="center"/>
          </w:tcPr>
          <w:p w14:paraId="1CFCC7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6F85D2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55ACACB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bidi="ar-SA"/>
              </w:rPr>
            </w:pPr>
            <w:r>
              <w:rPr>
                <w:rFonts w:hint="eastAsia" w:ascii="仿宋" w:hAnsi="仿宋" w:eastAsia="仿宋" w:cs="仿宋"/>
                <w:b w:val="0"/>
                <w:bCs w:val="0"/>
                <w:color w:val="auto"/>
                <w:kern w:val="0"/>
                <w:sz w:val="28"/>
                <w:szCs w:val="28"/>
                <w:highlight w:val="none"/>
                <w:lang w:val="en-US" w:eastAsia="zh-CN"/>
              </w:rPr>
              <w:t>（3）</w:t>
            </w:r>
            <w:r>
              <w:rPr>
                <w:rFonts w:hint="eastAsia" w:ascii="仿宋" w:hAnsi="仿宋" w:eastAsia="仿宋" w:cs="仿宋"/>
                <w:color w:val="auto"/>
                <w:sz w:val="28"/>
                <w:szCs w:val="28"/>
                <w:highlight w:val="none"/>
                <w:u w:val="none"/>
              </w:rPr>
              <w:t>大件物品出入</w:t>
            </w:r>
            <w:r>
              <w:rPr>
                <w:rFonts w:hint="eastAsia" w:ascii="仿宋" w:hAnsi="仿宋" w:eastAsia="仿宋" w:cs="仿宋"/>
                <w:color w:val="auto"/>
                <w:sz w:val="28"/>
                <w:szCs w:val="28"/>
                <w:highlight w:val="none"/>
                <w:u w:val="none"/>
                <w:lang w:val="en-US" w:eastAsia="zh-CN"/>
              </w:rPr>
              <w:t>向采购人报告，待采购人确认无误后放行</w:t>
            </w:r>
            <w:r>
              <w:rPr>
                <w:rFonts w:hint="eastAsia" w:ascii="仿宋" w:hAnsi="仿宋" w:eastAsia="仿宋" w:cs="仿宋"/>
                <w:color w:val="auto"/>
                <w:sz w:val="28"/>
                <w:szCs w:val="28"/>
                <w:highlight w:val="none"/>
                <w:u w:val="none"/>
                <w:lang w:eastAsia="zh-CN"/>
              </w:rPr>
              <w:t>。</w:t>
            </w:r>
          </w:p>
        </w:tc>
      </w:tr>
      <w:tr w14:paraId="0A46C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5276C0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129" w:type="dxa"/>
            <w:vMerge w:val="restart"/>
            <w:noWrap w:val="0"/>
            <w:vAlign w:val="center"/>
          </w:tcPr>
          <w:p w14:paraId="15DF16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服务热线及紧急维修</w:t>
            </w:r>
          </w:p>
        </w:tc>
        <w:tc>
          <w:tcPr>
            <w:tcW w:w="6467" w:type="dxa"/>
            <w:noWrap w:val="0"/>
            <w:vAlign w:val="center"/>
          </w:tcPr>
          <w:p w14:paraId="0DD7821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（1）设置24小时报修服务热线。</w:t>
            </w:r>
          </w:p>
        </w:tc>
      </w:tr>
      <w:tr w14:paraId="1F02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vMerge w:val="continue"/>
            <w:noWrap w:val="0"/>
            <w:vAlign w:val="center"/>
          </w:tcPr>
          <w:p w14:paraId="410535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29" w:type="dxa"/>
            <w:vMerge w:val="continue"/>
            <w:noWrap w:val="0"/>
            <w:vAlign w:val="center"/>
          </w:tcPr>
          <w:p w14:paraId="44C2F2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仿宋" w:hAnsi="仿宋" w:eastAsia="仿宋" w:cs="仿宋"/>
                <w:color w:val="auto"/>
                <w:sz w:val="28"/>
                <w:szCs w:val="28"/>
                <w:highlight w:val="none"/>
                <w:lang w:val="en-US" w:eastAsia="zh-CN"/>
              </w:rPr>
            </w:pPr>
          </w:p>
        </w:tc>
        <w:tc>
          <w:tcPr>
            <w:tcW w:w="6467" w:type="dxa"/>
            <w:noWrap w:val="0"/>
            <w:vAlign w:val="center"/>
          </w:tcPr>
          <w:p w14:paraId="398DCD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仿宋" w:hAnsi="仿宋" w:eastAsia="仿宋" w:cs="仿宋"/>
                <w:color w:val="auto"/>
                <w:sz w:val="28"/>
                <w:szCs w:val="28"/>
                <w:highlight w:val="none"/>
                <w:u w:val="none"/>
                <w:lang w:val="en-US" w:eastAsia="zh-CN"/>
              </w:rPr>
              <w:t>紧急维修应当15分钟内到达现场，不间断维修直至修复。</w:t>
            </w:r>
          </w:p>
        </w:tc>
      </w:tr>
    </w:tbl>
    <w:p w14:paraId="11D44D13">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3.2房屋维护服务</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3BF4D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noWrap w:val="0"/>
            <w:vAlign w:val="center"/>
          </w:tcPr>
          <w:p w14:paraId="17C80172">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143" w:type="dxa"/>
            <w:noWrap w:val="0"/>
            <w:vAlign w:val="center"/>
          </w:tcPr>
          <w:p w14:paraId="648FF9AE">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457" w:type="dxa"/>
            <w:noWrap w:val="0"/>
            <w:vAlign w:val="center"/>
          </w:tcPr>
          <w:p w14:paraId="611CCEA2">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7142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59917A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43" w:type="dxa"/>
            <w:vMerge w:val="restart"/>
            <w:noWrap w:val="0"/>
            <w:vAlign w:val="center"/>
          </w:tcPr>
          <w:p w14:paraId="4402A2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z w:val="28"/>
                <w:szCs w:val="28"/>
              </w:rPr>
              <w:t>主体结构、围护结构、部品部件</w:t>
            </w:r>
          </w:p>
        </w:tc>
        <w:tc>
          <w:tcPr>
            <w:tcW w:w="6457" w:type="dxa"/>
            <w:noWrap w:val="0"/>
            <w:vAlign w:val="center"/>
          </w:tcPr>
          <w:p w14:paraId="3781DD6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（1）每季度至少开展1次房屋结构安全巡视，发现外观有变形、开裂等现象，及时建议采购人申请房屋安全鉴定，并采取必要的避险和防护措施。</w:t>
            </w:r>
          </w:p>
        </w:tc>
      </w:tr>
      <w:tr w14:paraId="31D3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18B73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42BA0C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3AEDAD5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（2）每季度至少开展1次外墙贴饰面、幕墙玻璃、雨篷、散水、空调室外机支撑构件等检查，发现破损，及时向采购人报告，按采购人要求出具维修方案，待采购人同意后按维修方案实施维修。</w:t>
            </w:r>
          </w:p>
        </w:tc>
      </w:tr>
      <w:tr w14:paraId="0FE9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54B977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5CE02C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57" w:type="dxa"/>
            <w:noWrap w:val="0"/>
            <w:vAlign w:val="center"/>
          </w:tcPr>
          <w:p w14:paraId="324BD25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（3）每半月至少开展1次公用部位的门、窗、楼梯、通风道、室内地面、墙面、吊顶和室外屋面等巡查，发现破损，及时向采购人报告，按采购人要求出具维修方案，待采购人同意后按维修方案实施维修。</w:t>
            </w:r>
          </w:p>
        </w:tc>
      </w:tr>
      <w:tr w14:paraId="2C68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A6FAA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5E1C2C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57" w:type="dxa"/>
            <w:noWrap w:val="0"/>
            <w:vAlign w:val="center"/>
          </w:tcPr>
          <w:p w14:paraId="48263C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（4）每年强降雨天气前后、雨雪季节检查屋面防水和雨落管等，发现破损，及时向采购人报告，按采购人要求出具维修方案，待采购人同意后按维修方案实施维修。</w:t>
            </w:r>
          </w:p>
        </w:tc>
      </w:tr>
      <w:tr w14:paraId="7909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EAA14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2C856D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57" w:type="dxa"/>
            <w:noWrap w:val="0"/>
            <w:vAlign w:val="center"/>
          </w:tcPr>
          <w:p w14:paraId="3754BDE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（5）</w:t>
            </w:r>
            <w:r>
              <w:rPr>
                <w:rFonts w:hint="eastAsia" w:ascii="仿宋" w:hAnsi="仿宋" w:eastAsia="仿宋" w:cs="仿宋"/>
                <w:color w:val="auto"/>
                <w:sz w:val="28"/>
                <w:szCs w:val="28"/>
                <w:highlight w:val="none"/>
                <w:u w:val="none"/>
                <w:lang w:val="en-US" w:eastAsia="zh-CN"/>
              </w:rPr>
              <w:t>办公楼外观完好，建筑装饰面无脱落、无破损、无污渍，玻璃幕墙清洁明亮、无破损。</w:t>
            </w:r>
          </w:p>
        </w:tc>
      </w:tr>
      <w:tr w14:paraId="015A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1" w:type="dxa"/>
            <w:vMerge w:val="continue"/>
            <w:noWrap w:val="0"/>
            <w:vAlign w:val="center"/>
          </w:tcPr>
          <w:p w14:paraId="1A541C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0E2784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57" w:type="dxa"/>
            <w:noWrap w:val="0"/>
            <w:vAlign w:val="center"/>
          </w:tcPr>
          <w:p w14:paraId="51DCD14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（6）</w:t>
            </w:r>
            <w:r>
              <w:rPr>
                <w:rFonts w:hint="eastAsia" w:ascii="仿宋" w:hAnsi="仿宋" w:eastAsia="仿宋" w:cs="仿宋"/>
                <w:color w:val="auto"/>
                <w:sz w:val="28"/>
                <w:szCs w:val="28"/>
                <w:highlight w:val="none"/>
                <w:u w:val="none"/>
                <w:lang w:val="en-US" w:eastAsia="zh-CN"/>
              </w:rPr>
              <w:t>通道、楼梯、门窗等设施的完好和正常使用。</w:t>
            </w:r>
          </w:p>
        </w:tc>
      </w:tr>
      <w:tr w14:paraId="6034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6C35E5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43" w:type="dxa"/>
            <w:vMerge w:val="restart"/>
            <w:noWrap w:val="0"/>
            <w:vAlign w:val="center"/>
          </w:tcPr>
          <w:p w14:paraId="365730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其他设施</w:t>
            </w:r>
          </w:p>
        </w:tc>
        <w:tc>
          <w:tcPr>
            <w:tcW w:w="6457" w:type="dxa"/>
            <w:noWrap w:val="0"/>
            <w:vAlign w:val="center"/>
          </w:tcPr>
          <w:p w14:paraId="7CD9FB7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1）每半月至少开展1次大门、围墙、道路、场地、管井、沟渠等巡查，每半月至少检查1次雨污水管井、化粪池等巡查，发现破损，及时向采购人报告，按采购人要求出具维修方案，待采购人同意后按维修方案实施维修。</w:t>
            </w:r>
          </w:p>
        </w:tc>
      </w:tr>
      <w:tr w14:paraId="2400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126CF0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068A0E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2689C26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（2）每年至少开展1次防雷装置检测，发现失效，及时向采购人报告，按采购人要求出具维修方案，待采购人同意后按维修方案实施维修。</w:t>
            </w:r>
          </w:p>
        </w:tc>
      </w:tr>
      <w:tr w14:paraId="32A5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C6F13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3FD78C4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5FDE2C5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（3）</w:t>
            </w:r>
            <w:r>
              <w:rPr>
                <w:rFonts w:hint="eastAsia" w:ascii="仿宋" w:hAnsi="仿宋" w:eastAsia="仿宋" w:cs="仿宋"/>
                <w:color w:val="auto"/>
                <w:sz w:val="28"/>
                <w:szCs w:val="28"/>
                <w:highlight w:val="none"/>
                <w:u w:val="none"/>
                <w:lang w:val="en-US" w:eastAsia="zh-CN"/>
              </w:rPr>
              <w:t>路面状态良好，地漏通畅不堵塞。</w:t>
            </w:r>
          </w:p>
        </w:tc>
      </w:tr>
      <w:tr w14:paraId="422F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1" w:type="dxa"/>
            <w:vMerge w:val="continue"/>
            <w:noWrap w:val="0"/>
            <w:vAlign w:val="center"/>
          </w:tcPr>
          <w:p w14:paraId="3D6F9A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1F01E036">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3506EA1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（4）接到采购人家具报修服务后，及时通知家具供货商对保修期内的家具进行维修，及时对保修期外的家具进行维修。</w:t>
            </w:r>
          </w:p>
        </w:tc>
      </w:tr>
      <w:tr w14:paraId="09F4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048F93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143" w:type="dxa"/>
            <w:vMerge w:val="restart"/>
            <w:noWrap w:val="0"/>
            <w:vAlign w:val="center"/>
          </w:tcPr>
          <w:p w14:paraId="6E2EDE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装饰装修</w:t>
            </w:r>
            <w:r>
              <w:rPr>
                <w:rFonts w:hint="eastAsia" w:ascii="仿宋" w:hAnsi="仿宋" w:eastAsia="仿宋" w:cs="仿宋"/>
                <w:color w:val="auto"/>
                <w:sz w:val="28"/>
                <w:szCs w:val="28"/>
                <w:highlight w:val="none"/>
                <w:lang w:val="en-US" w:eastAsia="zh-CN"/>
              </w:rPr>
              <w:t>监督</w:t>
            </w:r>
            <w:r>
              <w:rPr>
                <w:rFonts w:hint="eastAsia" w:ascii="仿宋" w:hAnsi="仿宋" w:eastAsia="仿宋" w:cs="仿宋"/>
                <w:color w:val="auto"/>
                <w:sz w:val="28"/>
                <w:szCs w:val="28"/>
                <w:highlight w:val="none"/>
              </w:rPr>
              <w:t>管理</w:t>
            </w:r>
          </w:p>
        </w:tc>
        <w:tc>
          <w:tcPr>
            <w:tcW w:w="6457" w:type="dxa"/>
            <w:noWrap w:val="0"/>
            <w:vAlign w:val="center"/>
          </w:tcPr>
          <w:p w14:paraId="6F843DC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（1）装饰装修前，供应商应当与采购人或采购人委托的装修企业签订装饰装修管理服务协议，告知装饰装修须知，并对装饰装修过程进行管理服务。</w:t>
            </w:r>
          </w:p>
        </w:tc>
      </w:tr>
      <w:tr w14:paraId="7ED14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46F421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48188F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31F8BD7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（2）根据协议内容，做好装修垃圾临时堆放、清运等</w:t>
            </w:r>
            <w:r>
              <w:rPr>
                <w:rFonts w:hint="eastAsia" w:ascii="仿宋" w:hAnsi="仿宋" w:eastAsia="仿宋" w:cs="仿宋"/>
                <w:color w:val="auto"/>
                <w:sz w:val="28"/>
                <w:szCs w:val="28"/>
                <w:highlight w:val="none"/>
                <w:lang w:eastAsia="zh-CN"/>
              </w:rPr>
              <w:t>。</w:t>
            </w:r>
          </w:p>
        </w:tc>
      </w:tr>
      <w:tr w14:paraId="6016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801" w:type="dxa"/>
            <w:vMerge w:val="continue"/>
            <w:noWrap w:val="0"/>
            <w:vAlign w:val="center"/>
          </w:tcPr>
          <w:p w14:paraId="3081DF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3735A0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57" w:type="dxa"/>
            <w:noWrap w:val="0"/>
            <w:vAlign w:val="center"/>
          </w:tcPr>
          <w:p w14:paraId="4A8B603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（3）</w:t>
            </w:r>
            <w:r>
              <w:rPr>
                <w:rFonts w:hint="eastAsia" w:ascii="仿宋" w:hAnsi="仿宋" w:eastAsia="仿宋" w:cs="仿宋"/>
                <w:color w:val="auto"/>
                <w:sz w:val="28"/>
                <w:szCs w:val="28"/>
                <w:highlight w:val="none"/>
                <w:u w:val="none"/>
                <w:lang w:val="en-US" w:eastAsia="zh-CN"/>
              </w:rPr>
              <w:t>受</w:t>
            </w:r>
            <w:r>
              <w:rPr>
                <w:rFonts w:hint="eastAsia" w:ascii="仿宋" w:hAnsi="仿宋" w:eastAsia="仿宋" w:cs="仿宋"/>
                <w:b w:val="0"/>
                <w:bCs w:val="0"/>
                <w:color w:val="auto"/>
                <w:kern w:val="0"/>
                <w:sz w:val="28"/>
                <w:szCs w:val="28"/>
                <w:highlight w:val="none"/>
                <w:lang w:val="en-US" w:eastAsia="zh-CN"/>
              </w:rPr>
              <w:t>采购人</w:t>
            </w:r>
            <w:r>
              <w:rPr>
                <w:rFonts w:hint="eastAsia" w:ascii="仿宋" w:hAnsi="仿宋" w:eastAsia="仿宋" w:cs="仿宋"/>
                <w:color w:val="auto"/>
                <w:sz w:val="28"/>
                <w:szCs w:val="28"/>
                <w:highlight w:val="none"/>
                <w:u w:val="none"/>
                <w:lang w:val="en-US" w:eastAsia="zh-CN"/>
              </w:rPr>
              <w:t>委托对房屋内装修进行严格的监督管理，发现问题及时上报，确保不因装修而危及大楼结构安全、人身安全和影响正常办公秩序。</w:t>
            </w:r>
          </w:p>
        </w:tc>
      </w:tr>
      <w:tr w14:paraId="5461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0ABBDB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143" w:type="dxa"/>
            <w:vMerge w:val="restart"/>
            <w:noWrap w:val="0"/>
            <w:vAlign w:val="center"/>
          </w:tcPr>
          <w:p w14:paraId="7F8373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标识标牌</w:t>
            </w:r>
          </w:p>
        </w:tc>
        <w:tc>
          <w:tcPr>
            <w:tcW w:w="6457" w:type="dxa"/>
            <w:noWrap w:val="0"/>
            <w:vAlign w:val="center"/>
          </w:tcPr>
          <w:p w14:paraId="03C8E82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b w:val="0"/>
                <w:bCs w:val="0"/>
                <w:color w:val="auto"/>
                <w:kern w:val="0"/>
                <w:sz w:val="28"/>
                <w:szCs w:val="28"/>
                <w:highlight w:val="none"/>
                <w:lang w:val="en-US" w:eastAsia="zh-CN"/>
              </w:rPr>
              <w:t>（1）标识标牌符合《</w:t>
            </w:r>
            <w:r>
              <w:rPr>
                <w:rFonts w:hint="eastAsia" w:ascii="仿宋" w:hAnsi="仿宋" w:eastAsia="仿宋" w:cs="仿宋"/>
                <w:color w:val="auto"/>
                <w:kern w:val="0"/>
                <w:sz w:val="28"/>
                <w:szCs w:val="28"/>
                <w:highlight w:val="none"/>
              </w:rPr>
              <w:t>公共信息图形符号 第1部分：通用符号</w:t>
            </w:r>
            <w:r>
              <w:rPr>
                <w:rFonts w:hint="eastAsia" w:ascii="仿宋" w:hAnsi="仿宋" w:eastAsia="仿宋" w:cs="仿宋"/>
                <w:b w:val="0"/>
                <w:bCs w:val="0"/>
                <w:color w:val="auto"/>
                <w:kern w:val="0"/>
                <w:sz w:val="28"/>
                <w:szCs w:val="28"/>
                <w:highlight w:val="none"/>
                <w:lang w:val="en-US" w:eastAsia="zh-CN"/>
              </w:rPr>
              <w:t>》（</w:t>
            </w:r>
            <w:r>
              <w:rPr>
                <w:rFonts w:hint="eastAsia" w:ascii="仿宋" w:hAnsi="仿宋" w:eastAsia="仿宋" w:cs="仿宋"/>
                <w:color w:val="auto"/>
                <w:kern w:val="0"/>
                <w:sz w:val="28"/>
                <w:szCs w:val="28"/>
                <w:highlight w:val="none"/>
              </w:rPr>
              <w:t>GB/T 10001.1</w:t>
            </w:r>
            <w:r>
              <w:rPr>
                <w:rFonts w:hint="eastAsia" w:ascii="仿宋" w:hAnsi="仿宋" w:eastAsia="仿宋" w:cs="仿宋"/>
                <w:b w:val="0"/>
                <w:bCs w:val="0"/>
                <w:color w:val="auto"/>
                <w:kern w:val="0"/>
                <w:sz w:val="28"/>
                <w:szCs w:val="28"/>
                <w:highlight w:val="none"/>
                <w:lang w:val="en-US" w:eastAsia="zh-CN"/>
              </w:rPr>
              <w:t>）的相关要求，消防与安全标识符合《</w:t>
            </w:r>
            <w:r>
              <w:rPr>
                <w:rFonts w:hint="eastAsia" w:ascii="仿宋" w:hAnsi="仿宋" w:eastAsia="仿宋" w:cs="仿宋"/>
                <w:color w:val="auto"/>
                <w:kern w:val="0"/>
                <w:sz w:val="28"/>
                <w:szCs w:val="28"/>
                <w:highlight w:val="none"/>
              </w:rPr>
              <w:t>安全标志及其使用导则</w:t>
            </w:r>
            <w:r>
              <w:rPr>
                <w:rFonts w:hint="eastAsia" w:ascii="仿宋" w:hAnsi="仿宋" w:eastAsia="仿宋" w:cs="仿宋"/>
                <w:b w:val="0"/>
                <w:bCs w:val="0"/>
                <w:color w:val="auto"/>
                <w:kern w:val="0"/>
                <w:sz w:val="28"/>
                <w:szCs w:val="28"/>
                <w:highlight w:val="none"/>
                <w:lang w:val="en-US" w:eastAsia="zh-CN"/>
              </w:rPr>
              <w:t>》（GB2894）、《消防安全标志　第1部分：标志》（GB13495.1）的相关要求。</w:t>
            </w:r>
          </w:p>
        </w:tc>
      </w:tr>
      <w:tr w14:paraId="3107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01" w:type="dxa"/>
            <w:vMerge w:val="continue"/>
            <w:noWrap w:val="0"/>
            <w:vAlign w:val="center"/>
          </w:tcPr>
          <w:p w14:paraId="51A0B3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43" w:type="dxa"/>
            <w:vMerge w:val="continue"/>
            <w:noWrap w:val="0"/>
            <w:vAlign w:val="center"/>
          </w:tcPr>
          <w:p w14:paraId="55AEE2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57" w:type="dxa"/>
            <w:noWrap w:val="0"/>
            <w:vAlign w:val="center"/>
          </w:tcPr>
          <w:p w14:paraId="535820E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（2）每月至少检查1次标识标牌和消防与安全标识。应当规范清晰、路线指引正确、安装稳固。</w:t>
            </w:r>
          </w:p>
        </w:tc>
      </w:tr>
    </w:tbl>
    <w:p w14:paraId="3B9349C3">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3.3公用设施设备维护服务</w:t>
      </w:r>
    </w:p>
    <w:tbl>
      <w:tblPr>
        <w:tblStyle w:val="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15B4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noWrap w:val="0"/>
            <w:vAlign w:val="center"/>
          </w:tcPr>
          <w:p w14:paraId="79F2BA10">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162" w:type="dxa"/>
            <w:noWrap w:val="0"/>
            <w:vAlign w:val="center"/>
          </w:tcPr>
          <w:p w14:paraId="6E0EB91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469" w:type="dxa"/>
            <w:noWrap w:val="0"/>
            <w:vAlign w:val="center"/>
          </w:tcPr>
          <w:p w14:paraId="5C3ABBC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112B7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6EC58D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62" w:type="dxa"/>
            <w:vMerge w:val="restart"/>
            <w:noWrap w:val="0"/>
            <w:vAlign w:val="center"/>
          </w:tcPr>
          <w:p w14:paraId="6069CB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基本要求</w:t>
            </w:r>
          </w:p>
        </w:tc>
        <w:tc>
          <w:tcPr>
            <w:tcW w:w="6469" w:type="dxa"/>
            <w:noWrap w:val="0"/>
            <w:vAlign w:val="center"/>
          </w:tcPr>
          <w:p w14:paraId="6920B1A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（1）重大节假日及恶劣天气前后，组织系统巡检1次。</w:t>
            </w:r>
          </w:p>
        </w:tc>
      </w:tr>
      <w:tr w14:paraId="3E88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02" w:type="dxa"/>
            <w:vMerge w:val="continue"/>
            <w:noWrap w:val="0"/>
            <w:vAlign w:val="center"/>
          </w:tcPr>
          <w:p w14:paraId="34FE12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3CA605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063AA15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（2）具备设施设备安全、稳定运行的环境和场所（含有限空间），温湿度、照度、粉尘和烟雾浓度等符合相关安全规范。</w:t>
            </w:r>
          </w:p>
        </w:tc>
      </w:tr>
      <w:tr w14:paraId="050B6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2" w:type="dxa"/>
            <w:vMerge w:val="restart"/>
            <w:noWrap w:val="0"/>
            <w:vAlign w:val="center"/>
          </w:tcPr>
          <w:p w14:paraId="1568FF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62" w:type="dxa"/>
            <w:vMerge w:val="restart"/>
            <w:noWrap w:val="0"/>
            <w:vAlign w:val="center"/>
          </w:tcPr>
          <w:p w14:paraId="6039A5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设备机房</w:t>
            </w:r>
          </w:p>
        </w:tc>
        <w:tc>
          <w:tcPr>
            <w:tcW w:w="6469" w:type="dxa"/>
            <w:noWrap w:val="0"/>
            <w:vAlign w:val="center"/>
          </w:tcPr>
          <w:p w14:paraId="6A2A018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751A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02" w:type="dxa"/>
            <w:vMerge w:val="continue"/>
            <w:noWrap w:val="0"/>
            <w:vAlign w:val="center"/>
          </w:tcPr>
          <w:p w14:paraId="254432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885E9C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0D21CE0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（2）设备机房门窗、锁具应当完好、有效。</w:t>
            </w:r>
          </w:p>
        </w:tc>
      </w:tr>
      <w:tr w14:paraId="1C20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02" w:type="dxa"/>
            <w:vMerge w:val="continue"/>
            <w:noWrap w:val="0"/>
            <w:vAlign w:val="center"/>
          </w:tcPr>
          <w:p w14:paraId="25DA90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12121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5E4BEC6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（3）每半月至少开展1次清洁，整洁有序、无杂物、无积尘、无鼠、无虫害，温湿度符合设备运行要求。</w:t>
            </w:r>
          </w:p>
        </w:tc>
      </w:tr>
      <w:tr w14:paraId="4071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02" w:type="dxa"/>
            <w:vMerge w:val="continue"/>
            <w:noWrap w:val="0"/>
            <w:vAlign w:val="center"/>
          </w:tcPr>
          <w:p w14:paraId="285D51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160AA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2EEABE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（4）按各设备机房国家标准规范规定维护/保管消防、通风、应急照明，防止小动物进入。</w:t>
            </w:r>
          </w:p>
        </w:tc>
      </w:tr>
      <w:tr w14:paraId="4264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02" w:type="dxa"/>
            <w:vMerge w:val="continue"/>
            <w:noWrap w:val="0"/>
            <w:vAlign w:val="center"/>
          </w:tcPr>
          <w:p w14:paraId="5CEFB9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7BC4EDC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149A3F6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（5）安全防护用具配置齐全，检验合格。</w:t>
            </w:r>
          </w:p>
        </w:tc>
      </w:tr>
      <w:tr w14:paraId="5D56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802" w:type="dxa"/>
            <w:vMerge w:val="continue"/>
            <w:noWrap w:val="0"/>
            <w:vAlign w:val="center"/>
          </w:tcPr>
          <w:p w14:paraId="497954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F87B9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D6661E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（6）应急设施设备用品应当齐全、完备，可随时启用。</w:t>
            </w:r>
          </w:p>
        </w:tc>
      </w:tr>
      <w:tr w14:paraId="104F7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306764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162" w:type="dxa"/>
            <w:vMerge w:val="restart"/>
            <w:noWrap w:val="0"/>
            <w:vAlign w:val="center"/>
          </w:tcPr>
          <w:p w14:paraId="72805E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给排水系统</w:t>
            </w:r>
          </w:p>
        </w:tc>
        <w:tc>
          <w:tcPr>
            <w:tcW w:w="6469" w:type="dxa"/>
            <w:noWrap w:val="0"/>
            <w:vAlign w:val="center"/>
          </w:tcPr>
          <w:p w14:paraId="120040B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（1）生活饮用水卫生符合《</w:t>
            </w:r>
            <w:r>
              <w:rPr>
                <w:rFonts w:hint="eastAsia" w:ascii="仿宋" w:hAnsi="仿宋" w:eastAsia="仿宋" w:cs="仿宋"/>
                <w:color w:val="auto"/>
                <w:kern w:val="0"/>
                <w:sz w:val="28"/>
                <w:szCs w:val="28"/>
                <w:highlight w:val="none"/>
              </w:rPr>
              <w:t>生活饮用水卫生标准</w:t>
            </w:r>
            <w:r>
              <w:rPr>
                <w:rFonts w:hint="eastAsia" w:ascii="仿宋" w:hAnsi="仿宋" w:eastAsia="仿宋" w:cs="仿宋"/>
                <w:b w:val="0"/>
                <w:bCs w:val="0"/>
                <w:color w:val="auto"/>
                <w:kern w:val="0"/>
                <w:sz w:val="28"/>
                <w:szCs w:val="28"/>
                <w:highlight w:val="none"/>
                <w:lang w:val="en-US" w:eastAsia="zh-CN"/>
              </w:rPr>
              <w:t>》（GB5749）的相关要求。</w:t>
            </w:r>
          </w:p>
        </w:tc>
      </w:tr>
      <w:tr w14:paraId="35F29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A90E0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58460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12A1081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（2）二次供水卫生符合《二次供水设施卫生规范》（GB17051）的相关要求。</w:t>
            </w:r>
          </w:p>
        </w:tc>
      </w:tr>
      <w:tr w14:paraId="18E9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87FA0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9776B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0512706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（3）设施设备、阀门、管道等运行正常，无跑、冒、滴、漏现象。</w:t>
            </w:r>
          </w:p>
        </w:tc>
      </w:tr>
      <w:tr w14:paraId="61907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0AEF3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9396A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6FD6C6E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（4）有水泵房、水箱间的，每日至少巡视1次。每年至少养护1次水泵。</w:t>
            </w:r>
          </w:p>
        </w:tc>
      </w:tr>
      <w:tr w14:paraId="5B6BF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73FBE2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4F9BD0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62AC1BD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（5）遇供水单位限水、停水，按规定时间通知采购人。</w:t>
            </w:r>
          </w:p>
        </w:tc>
      </w:tr>
      <w:tr w14:paraId="28368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802" w:type="dxa"/>
            <w:vMerge w:val="continue"/>
            <w:noWrap w:val="0"/>
            <w:vAlign w:val="center"/>
          </w:tcPr>
          <w:p w14:paraId="48F45E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44E6B3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AE7165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（6）每季度至少开展1次对排水管进行疏通、清污，保证室内外排水系统通畅。</w:t>
            </w:r>
          </w:p>
        </w:tc>
      </w:tr>
      <w:tr w14:paraId="3843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0ACB27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162" w:type="dxa"/>
            <w:vMerge w:val="restart"/>
            <w:noWrap w:val="0"/>
            <w:vAlign w:val="center"/>
          </w:tcPr>
          <w:p w14:paraId="342357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空调</w:t>
            </w:r>
            <w:r>
              <w:rPr>
                <w:rFonts w:hint="eastAsia" w:ascii="仿宋" w:hAnsi="仿宋" w:eastAsia="仿宋" w:cs="仿宋"/>
                <w:color w:val="auto"/>
                <w:sz w:val="28"/>
                <w:szCs w:val="28"/>
                <w:highlight w:val="none"/>
              </w:rPr>
              <w:t>系统</w:t>
            </w:r>
          </w:p>
        </w:tc>
        <w:tc>
          <w:tcPr>
            <w:tcW w:w="6469" w:type="dxa"/>
            <w:noWrap w:val="0"/>
            <w:vAlign w:val="center"/>
          </w:tcPr>
          <w:p w14:paraId="1A7AF82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（1）空调通风系统运行管理符合《空调通风系统运行管理标准》（GB50365）的相关要求。</w:t>
            </w:r>
          </w:p>
        </w:tc>
      </w:tr>
      <w:tr w14:paraId="694A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FC34D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26BF6E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399ED1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（2）办公楼内温湿度、空气质量等符合《室内空气质量标准》（GB/T18883）的相关要求。</w:t>
            </w:r>
          </w:p>
        </w:tc>
      </w:tr>
      <w:tr w14:paraId="70EB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802" w:type="dxa"/>
            <w:vMerge w:val="continue"/>
            <w:noWrap w:val="0"/>
            <w:vAlign w:val="center"/>
          </w:tcPr>
          <w:p w14:paraId="73BD33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37A989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785F24C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（3）开展维保并做好记录，保证空调设施设备处于良好状态。</w:t>
            </w:r>
          </w:p>
        </w:tc>
      </w:tr>
      <w:tr w14:paraId="5B23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46BD0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0E7D6D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70D1D1A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（4）每半年至少开展1次管道、阀门检查并除锈。</w:t>
            </w:r>
          </w:p>
        </w:tc>
      </w:tr>
      <w:tr w14:paraId="6D8F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3D852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17FDE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70376E3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（5）每年至少开展1次系统整体性维修养护，检验1次压力容器、仪表及冷却塔噪声。</w:t>
            </w:r>
          </w:p>
        </w:tc>
      </w:tr>
      <w:tr w14:paraId="788C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65D0C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4C891E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5290E09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（6）每年至少开展1次新风机、空气处理机滤网等清洗消毒；每2年至少开展1次风管清洗消毒。</w:t>
            </w:r>
          </w:p>
        </w:tc>
      </w:tr>
      <w:tr w14:paraId="00BD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239FB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6A325E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2F140AF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（7）每年至少开展1次分体式空调主机（含空调过滤网）和室外机清洁。每月至少开展1次挂机和室外支架稳固性巡查。</w:t>
            </w:r>
          </w:p>
        </w:tc>
      </w:tr>
      <w:tr w14:paraId="710A8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5CBEC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0B72CF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323EF37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（8）制冷、供暖系统温度设定及启用时间符合节能要求。</w:t>
            </w:r>
          </w:p>
        </w:tc>
      </w:tr>
      <w:tr w14:paraId="46C8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802" w:type="dxa"/>
            <w:vMerge w:val="continue"/>
            <w:noWrap w:val="0"/>
            <w:vAlign w:val="center"/>
          </w:tcPr>
          <w:p w14:paraId="2F14A2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F764C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03CDC7F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（9）</w:t>
            </w:r>
            <w:r>
              <w:rPr>
                <w:rFonts w:hint="eastAsia" w:ascii="仿宋" w:hAnsi="仿宋" w:eastAsia="仿宋" w:cs="仿宋"/>
                <w:color w:val="auto"/>
                <w:sz w:val="28"/>
                <w:szCs w:val="28"/>
                <w:highlight w:val="none"/>
                <w:u w:val="none"/>
                <w:lang w:val="en-US" w:eastAsia="zh-CN"/>
              </w:rPr>
              <w:t>发现故障或损坏应当在30分钟内到场，紧急维修应当在15分钟内到达现场，在12小时内维修完毕。</w:t>
            </w:r>
          </w:p>
        </w:tc>
      </w:tr>
      <w:tr w14:paraId="45BFF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34BD43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162" w:type="dxa"/>
            <w:vMerge w:val="restart"/>
            <w:noWrap w:val="0"/>
            <w:vAlign w:val="center"/>
          </w:tcPr>
          <w:p w14:paraId="35B8FE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消防</w:t>
            </w:r>
            <w:r>
              <w:rPr>
                <w:rFonts w:hint="eastAsia" w:ascii="仿宋" w:hAnsi="仿宋" w:eastAsia="仿宋" w:cs="仿宋"/>
                <w:color w:val="auto"/>
                <w:sz w:val="28"/>
                <w:szCs w:val="28"/>
                <w:highlight w:val="none"/>
              </w:rPr>
              <w:t>系统</w:t>
            </w:r>
          </w:p>
        </w:tc>
        <w:tc>
          <w:tcPr>
            <w:tcW w:w="6469" w:type="dxa"/>
            <w:noWrap w:val="0"/>
            <w:vAlign w:val="center"/>
          </w:tcPr>
          <w:p w14:paraId="3EE1462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（1）消防设施的维护管理符合《建筑消防设施的维护管理》（GB25201）的相关要求。</w:t>
            </w:r>
          </w:p>
        </w:tc>
      </w:tr>
      <w:tr w14:paraId="6504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EBBFD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6DD66F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5507494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（2）消防设备检测符合《建筑消防设施检测技术规程》（GA503或XF503）的相关要求。</w:t>
            </w:r>
          </w:p>
        </w:tc>
      </w:tr>
      <w:tr w14:paraId="4FF3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E563F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3F1298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6AAE4DB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（3）消防设施平面图、火警疏散示意图、防火分区图等按幢设置在楼层醒目位置。</w:t>
            </w:r>
          </w:p>
        </w:tc>
      </w:tr>
      <w:tr w14:paraId="11A14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B115D2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63E0D1C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5E03AF0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（4）消防系统各设施设备使用说明清晰，宜图文结合。</w:t>
            </w:r>
          </w:p>
        </w:tc>
      </w:tr>
      <w:tr w14:paraId="41D1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1BB42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E37BD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23B1CD6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（5）自动喷水灭火系统启动正常。</w:t>
            </w:r>
          </w:p>
        </w:tc>
      </w:tr>
      <w:tr w14:paraId="74DA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121A1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0611F9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10034ED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（6）消火栓箱、防火门、灭火器、消防水泵、红外线报警器、应急照明、安全疏散等系统运行正常。</w:t>
            </w:r>
          </w:p>
        </w:tc>
      </w:tr>
      <w:tr w14:paraId="6393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10D61D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2162" w:type="dxa"/>
            <w:vMerge w:val="restart"/>
            <w:noWrap w:val="0"/>
            <w:vAlign w:val="center"/>
          </w:tcPr>
          <w:p w14:paraId="61E5A3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w:t>
            </w:r>
            <w:r>
              <w:rPr>
                <w:rFonts w:hint="eastAsia" w:ascii="仿宋" w:hAnsi="仿宋" w:eastAsia="仿宋" w:cs="仿宋"/>
                <w:color w:val="auto"/>
                <w:sz w:val="28"/>
                <w:szCs w:val="28"/>
                <w:highlight w:val="none"/>
                <w:lang w:val="en-US" w:eastAsia="zh-CN"/>
              </w:rPr>
              <w:t>配电</w:t>
            </w:r>
            <w:r>
              <w:rPr>
                <w:rFonts w:hint="eastAsia" w:ascii="仿宋" w:hAnsi="仿宋" w:eastAsia="仿宋" w:cs="仿宋"/>
                <w:color w:val="auto"/>
                <w:sz w:val="28"/>
                <w:szCs w:val="28"/>
                <w:highlight w:val="none"/>
              </w:rPr>
              <w:t>系统</w:t>
            </w:r>
          </w:p>
        </w:tc>
        <w:tc>
          <w:tcPr>
            <w:tcW w:w="6469" w:type="dxa"/>
            <w:noWrap w:val="0"/>
            <w:vAlign w:val="center"/>
          </w:tcPr>
          <w:p w14:paraId="0CF12CB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（1）建立24小时运行值班监控制度。</w:t>
            </w:r>
          </w:p>
        </w:tc>
      </w:tr>
      <w:tr w14:paraId="28009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77FC5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162" w:type="dxa"/>
            <w:vMerge w:val="continue"/>
            <w:noWrap w:val="0"/>
            <w:vAlign w:val="center"/>
          </w:tcPr>
          <w:p w14:paraId="77C53E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52430EC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（2）对供电范围内的电气设备定期巡视维护，加强高低压配电柜、配电箱、控制柜及线路等重点部位监测。</w:t>
            </w:r>
          </w:p>
        </w:tc>
      </w:tr>
      <w:tr w14:paraId="2AA6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8BD68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162" w:type="dxa"/>
            <w:vMerge w:val="continue"/>
            <w:noWrap w:val="0"/>
            <w:vAlign w:val="center"/>
          </w:tcPr>
          <w:p w14:paraId="1A2712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46A5224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（3）公共使用的照明、指示灯具线路、开关、接地等保持完好，确保用电安全。</w:t>
            </w:r>
          </w:p>
        </w:tc>
      </w:tr>
      <w:tr w14:paraId="4A388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9F6C1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162" w:type="dxa"/>
            <w:vMerge w:val="continue"/>
            <w:noWrap w:val="0"/>
            <w:vAlign w:val="center"/>
          </w:tcPr>
          <w:p w14:paraId="702AAD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1FFB638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（4）核心部位用电建立高可控用电保障和配备应急发电设备，定期维护应急发电设备。</w:t>
            </w:r>
          </w:p>
        </w:tc>
      </w:tr>
      <w:tr w14:paraId="71BA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0D0E8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162" w:type="dxa"/>
            <w:vMerge w:val="continue"/>
            <w:noWrap w:val="0"/>
            <w:vAlign w:val="center"/>
          </w:tcPr>
          <w:p w14:paraId="5043A1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19BCCE7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（5）发生非计划性停电的，应当在事件发生后及时通知采购人，快速恢复或启用应急电源，并做好应急事件上报及处理工作。</w:t>
            </w:r>
          </w:p>
        </w:tc>
      </w:tr>
      <w:tr w14:paraId="3A86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02" w:type="dxa"/>
            <w:vMerge w:val="continue"/>
            <w:noWrap w:val="0"/>
            <w:vAlign w:val="center"/>
          </w:tcPr>
          <w:p w14:paraId="50FE7A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162" w:type="dxa"/>
            <w:vMerge w:val="continue"/>
            <w:noWrap w:val="0"/>
            <w:vAlign w:val="center"/>
          </w:tcPr>
          <w:p w14:paraId="34B679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0DCC589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（6）复杂故障涉及供电部门维修处置的及时与供电部门联系，并向采购人报告。</w:t>
            </w:r>
          </w:p>
        </w:tc>
      </w:tr>
      <w:tr w14:paraId="14F1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38B02E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162" w:type="dxa"/>
            <w:vMerge w:val="restart"/>
            <w:noWrap w:val="0"/>
            <w:vAlign w:val="center"/>
          </w:tcPr>
          <w:p w14:paraId="319643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弱电系统</w:t>
            </w:r>
          </w:p>
        </w:tc>
        <w:tc>
          <w:tcPr>
            <w:tcW w:w="6469" w:type="dxa"/>
            <w:noWrap w:val="0"/>
            <w:vAlign w:val="center"/>
          </w:tcPr>
          <w:p w14:paraId="3C8CE45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（1）安全防范系统维护保养符合《安全防范系统维护保养规范》（</w:t>
            </w:r>
            <w:r>
              <w:rPr>
                <w:rFonts w:hint="eastAsia" w:ascii="仿宋" w:hAnsi="仿宋" w:eastAsia="仿宋" w:cs="仿宋"/>
                <w:color w:val="auto"/>
                <w:kern w:val="0"/>
                <w:sz w:val="28"/>
                <w:szCs w:val="28"/>
                <w:highlight w:val="none"/>
              </w:rPr>
              <w:t>GA/T 1081</w:t>
            </w:r>
            <w:r>
              <w:rPr>
                <w:rFonts w:hint="eastAsia" w:ascii="仿宋" w:hAnsi="仿宋" w:eastAsia="仿宋" w:cs="仿宋"/>
                <w:b w:val="0"/>
                <w:bCs w:val="0"/>
                <w:color w:val="auto"/>
                <w:kern w:val="0"/>
                <w:sz w:val="28"/>
                <w:szCs w:val="28"/>
                <w:highlight w:val="none"/>
                <w:lang w:val="en-US" w:eastAsia="zh-CN"/>
              </w:rPr>
              <w:t>）的相关要求。</w:t>
            </w:r>
          </w:p>
        </w:tc>
      </w:tr>
      <w:tr w14:paraId="4530D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02" w:type="dxa"/>
            <w:vMerge w:val="continue"/>
            <w:noWrap w:val="0"/>
            <w:vAlign w:val="center"/>
          </w:tcPr>
          <w:p w14:paraId="5E9154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6E0D76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32F78A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（2）保持监控系统、门禁系统、安全防范系统等运行正常，有故障及时排除。</w:t>
            </w:r>
          </w:p>
        </w:tc>
      </w:tr>
      <w:tr w14:paraId="6994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776756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162" w:type="dxa"/>
            <w:vMerge w:val="restart"/>
            <w:noWrap w:val="0"/>
            <w:vAlign w:val="center"/>
          </w:tcPr>
          <w:p w14:paraId="7BDF4D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照明</w:t>
            </w:r>
            <w:r>
              <w:rPr>
                <w:rFonts w:hint="eastAsia" w:ascii="仿宋" w:hAnsi="仿宋" w:eastAsia="仿宋" w:cs="仿宋"/>
                <w:color w:val="auto"/>
                <w:sz w:val="28"/>
                <w:szCs w:val="28"/>
                <w:highlight w:val="none"/>
              </w:rPr>
              <w:t>系统</w:t>
            </w:r>
          </w:p>
        </w:tc>
        <w:tc>
          <w:tcPr>
            <w:tcW w:w="6469" w:type="dxa"/>
            <w:noWrap w:val="0"/>
            <w:vAlign w:val="center"/>
          </w:tcPr>
          <w:p w14:paraId="7A7F3A2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（1）外观整洁无缺损、无松落。</w:t>
            </w:r>
          </w:p>
        </w:tc>
      </w:tr>
      <w:tr w14:paraId="2A58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FD4DA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208E06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4319EB0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（2）更换的照明灯具应当选用节能环保产品，亮度与更换前保持一致。</w:t>
            </w:r>
          </w:p>
        </w:tc>
      </w:tr>
      <w:tr w14:paraId="5BD0E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2" w:type="dxa"/>
            <w:vMerge w:val="continue"/>
            <w:noWrap w:val="0"/>
            <w:vAlign w:val="center"/>
          </w:tcPr>
          <w:p w14:paraId="11EA35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695823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3F1771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（3）每周至少开展1次公共区域照明设备巡视。</w:t>
            </w:r>
          </w:p>
        </w:tc>
      </w:tr>
      <w:tr w14:paraId="5950D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68B6DD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162" w:type="dxa"/>
            <w:vMerge w:val="restart"/>
            <w:noWrap w:val="0"/>
            <w:vAlign w:val="center"/>
          </w:tcPr>
          <w:p w14:paraId="75FBD2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锅炉设备</w:t>
            </w:r>
          </w:p>
        </w:tc>
        <w:tc>
          <w:tcPr>
            <w:tcW w:w="6469" w:type="dxa"/>
            <w:noWrap w:val="0"/>
            <w:vAlign w:val="center"/>
          </w:tcPr>
          <w:p w14:paraId="7CD16FD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（1）建立24小时值班监控制度。</w:t>
            </w:r>
          </w:p>
        </w:tc>
      </w:tr>
      <w:tr w14:paraId="7B62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87CF8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0C3F63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080DC0E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（2）每年至少开展1次锅炉设备的全面检查。</w:t>
            </w:r>
          </w:p>
        </w:tc>
      </w:tr>
      <w:tr w14:paraId="6A61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939A3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2CD57F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74553B3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（3）每年至少开展1次锅炉设备及其辅助设备检测，确保各类设备、仪器仪表、水管线路运行正常。</w:t>
            </w:r>
          </w:p>
        </w:tc>
      </w:tr>
      <w:tr w14:paraId="2FD9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12771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8C7AB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2BE8DEF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（4）每年至少开展1次锅炉水质检测，确保水质合格。</w:t>
            </w:r>
          </w:p>
        </w:tc>
      </w:tr>
      <w:tr w14:paraId="45AD6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02" w:type="dxa"/>
            <w:vMerge w:val="continue"/>
            <w:noWrap w:val="0"/>
            <w:vAlign w:val="center"/>
          </w:tcPr>
          <w:p w14:paraId="4FB2E8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32DF9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1588EAC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（5）按锅炉厂家制定的检修规程对锅炉进行检修。</w:t>
            </w:r>
          </w:p>
        </w:tc>
      </w:tr>
      <w:tr w14:paraId="791B2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0DB31F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162" w:type="dxa"/>
            <w:vMerge w:val="restart"/>
            <w:noWrap w:val="0"/>
            <w:vAlign w:val="center"/>
          </w:tcPr>
          <w:p w14:paraId="4CD401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采暖系统</w:t>
            </w:r>
          </w:p>
        </w:tc>
        <w:tc>
          <w:tcPr>
            <w:tcW w:w="6469" w:type="dxa"/>
            <w:noWrap w:val="0"/>
            <w:vAlign w:val="center"/>
          </w:tcPr>
          <w:p w14:paraId="1C23373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（1）定期检查供暖管道、阀门运行情况，确保正常无隐患。</w:t>
            </w:r>
          </w:p>
        </w:tc>
      </w:tr>
      <w:tr w14:paraId="23805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C98A7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7AF4C9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4A16171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（2）负责暖气片、阀门龙头等新装布置及旧装拆除、日常维修更换及管线的跑、冒、滴、漏的维修。</w:t>
            </w:r>
          </w:p>
        </w:tc>
      </w:tr>
      <w:tr w14:paraId="601E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7E1CB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093AE2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69" w:type="dxa"/>
            <w:noWrap w:val="0"/>
            <w:vAlign w:val="center"/>
          </w:tcPr>
          <w:p w14:paraId="750B666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（3）做好供暖前检查等相关准备工作。</w:t>
            </w:r>
          </w:p>
        </w:tc>
      </w:tr>
      <w:tr w14:paraId="31B2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DFAD7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5B53C2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65D6B14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（4）暖气片上水前，提前通知采购人。</w:t>
            </w:r>
          </w:p>
        </w:tc>
      </w:tr>
      <w:tr w14:paraId="5A6F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33625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376C5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5876D61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（5）供暖期间做好日常检查、维护、抢修、登记上报等工作。</w:t>
            </w:r>
          </w:p>
        </w:tc>
      </w:tr>
      <w:tr w14:paraId="10FA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802" w:type="dxa"/>
            <w:vMerge w:val="continue"/>
            <w:noWrap w:val="0"/>
            <w:vAlign w:val="center"/>
          </w:tcPr>
          <w:p w14:paraId="0FBE49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62" w:type="dxa"/>
            <w:vMerge w:val="continue"/>
            <w:noWrap w:val="0"/>
            <w:vAlign w:val="center"/>
          </w:tcPr>
          <w:p w14:paraId="1A4EDA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469" w:type="dxa"/>
            <w:noWrap w:val="0"/>
            <w:vAlign w:val="center"/>
          </w:tcPr>
          <w:p w14:paraId="25B82C4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（6）根据天气情况适时调节供暖设备运行工况，节约能源。</w:t>
            </w:r>
          </w:p>
        </w:tc>
      </w:tr>
    </w:tbl>
    <w:p w14:paraId="3539160B">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3.4保洁服务</w:t>
      </w:r>
    </w:p>
    <w:tbl>
      <w:tblPr>
        <w:tblStyle w:val="6"/>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917"/>
        <w:gridCol w:w="5839"/>
      </w:tblGrid>
      <w:tr w14:paraId="0F68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noWrap w:val="0"/>
            <w:vAlign w:val="center"/>
          </w:tcPr>
          <w:p w14:paraId="5BB27EC8">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089" w:type="dxa"/>
            <w:noWrap w:val="0"/>
            <w:vAlign w:val="center"/>
          </w:tcPr>
          <w:p w14:paraId="5DAC6A5F">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364" w:type="dxa"/>
            <w:noWrap w:val="0"/>
            <w:vAlign w:val="center"/>
          </w:tcPr>
          <w:p w14:paraId="51F4A677">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51168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restart"/>
            <w:noWrap w:val="0"/>
            <w:vAlign w:val="center"/>
          </w:tcPr>
          <w:p w14:paraId="5101E5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089" w:type="dxa"/>
            <w:vMerge w:val="restart"/>
            <w:noWrap w:val="0"/>
            <w:vAlign w:val="center"/>
          </w:tcPr>
          <w:p w14:paraId="42005D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基本要求</w:t>
            </w:r>
          </w:p>
        </w:tc>
        <w:tc>
          <w:tcPr>
            <w:tcW w:w="6364" w:type="dxa"/>
            <w:noWrap w:val="0"/>
            <w:vAlign w:val="center"/>
          </w:tcPr>
          <w:p w14:paraId="1795326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（1）建立保洁服务的工作制度及工作计划，并按照执行。</w:t>
            </w:r>
          </w:p>
        </w:tc>
      </w:tr>
      <w:tr w14:paraId="77E7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592EB8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5AF9C8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364" w:type="dxa"/>
            <w:noWrap w:val="0"/>
            <w:vAlign w:val="center"/>
          </w:tcPr>
          <w:p w14:paraId="11FABD9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（2）做好保洁服务工作记录，记录填写规范、保存完好。</w:t>
            </w:r>
          </w:p>
        </w:tc>
      </w:tr>
      <w:tr w14:paraId="7A8B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1C6D61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5A4DA4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364" w:type="dxa"/>
            <w:noWrap w:val="0"/>
            <w:vAlign w:val="center"/>
          </w:tcPr>
          <w:p w14:paraId="0A667AF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（3）作业时采取安全防护措施，防止对作业人员或他人造成伤害。相关耗材的环保、安全性等应当符合国家相关规定要求。</w:t>
            </w:r>
          </w:p>
        </w:tc>
      </w:tr>
      <w:tr w14:paraId="1AF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8" w:type="dxa"/>
            <w:vMerge w:val="continue"/>
            <w:noWrap w:val="0"/>
            <w:vAlign w:val="center"/>
          </w:tcPr>
          <w:p w14:paraId="3B8D1D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72D578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5F285C7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（4）进入保密区域时，有采购人相关人员全程在场。</w:t>
            </w:r>
          </w:p>
        </w:tc>
      </w:tr>
      <w:tr w14:paraId="4DA0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838" w:type="dxa"/>
            <w:vMerge w:val="restart"/>
            <w:noWrap w:val="0"/>
            <w:vAlign w:val="center"/>
          </w:tcPr>
          <w:p w14:paraId="7C32D8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089" w:type="dxa"/>
            <w:vMerge w:val="restart"/>
            <w:noWrap w:val="0"/>
            <w:vAlign w:val="center"/>
          </w:tcPr>
          <w:p w14:paraId="21F0C9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办公用房区域保洁</w:t>
            </w:r>
          </w:p>
        </w:tc>
        <w:tc>
          <w:tcPr>
            <w:tcW w:w="6364" w:type="dxa"/>
            <w:noWrap w:val="0"/>
            <w:vAlign w:val="center"/>
          </w:tcPr>
          <w:p w14:paraId="38CA2BE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（1）大厅、楼内公共通道：</w:t>
            </w:r>
          </w:p>
          <w:p w14:paraId="33C4B19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①公共通道保持干净，无异味、无杂物、无积水，每日至少开展1次清洁作业。</w:t>
            </w:r>
          </w:p>
          <w:p w14:paraId="4D84DD1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②门窗玻璃干净无尘，透光性好，每周至少开展1次清洁作业。</w:t>
            </w:r>
          </w:p>
          <w:p w14:paraId="0E3E90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 xml:space="preserve"> ③指示牌干净，无污渍，每日至少开展1次清洁作业。</w:t>
            </w:r>
          </w:p>
        </w:tc>
      </w:tr>
      <w:tr w14:paraId="7F05E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38" w:type="dxa"/>
            <w:vMerge w:val="continue"/>
            <w:noWrap w:val="0"/>
            <w:vAlign w:val="center"/>
          </w:tcPr>
          <w:p w14:paraId="3EDDE2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322E41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4AD07B2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（2）电器、消防等设施设备：</w:t>
            </w:r>
          </w:p>
          <w:p w14:paraId="1A135D2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①配电箱、设备机房、会议室音视频设备、消防栓及开关插座等保持表面干净，无尘无污迹，每月至少开展1次清洁作业。</w:t>
            </w:r>
          </w:p>
          <w:p w14:paraId="0E70880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 xml:space="preserve"> ②监控摄像头、门禁系统等表面光亮，无尘、无斑点，每月至少开展1次清洁作业。</w:t>
            </w:r>
          </w:p>
        </w:tc>
      </w:tr>
      <w:tr w14:paraId="7C81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5015AE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414AC6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9D119A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（3）楼梯及楼梯间保持干净、无异味、无杂物、无积水，每日至少开展1次清洁作业。</w:t>
            </w:r>
          </w:p>
        </w:tc>
      </w:tr>
      <w:tr w14:paraId="2D4F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031896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5D6DD7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5F0D8A4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（4）开水间保持干净、无异味、无杂物、无积水，每日至少开展1次清洁作业。</w:t>
            </w:r>
          </w:p>
        </w:tc>
      </w:tr>
      <w:tr w14:paraId="5872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211CC9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73BC2B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426107F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（5）作业工具间：</w:t>
            </w:r>
          </w:p>
          <w:p w14:paraId="1CB8679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①保持干净，无异味、无杂物、无积水，每日至少开展1次清洁作业。</w:t>
            </w:r>
          </w:p>
          <w:p w14:paraId="1DE0B6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 xml:space="preserve"> ②作业工具摆放整齐有序，表面干净无渍，每日消毒。</w:t>
            </w:r>
          </w:p>
        </w:tc>
      </w:tr>
      <w:tr w14:paraId="3762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838" w:type="dxa"/>
            <w:vMerge w:val="continue"/>
            <w:noWrap w:val="0"/>
            <w:vAlign w:val="center"/>
          </w:tcPr>
          <w:p w14:paraId="00A930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6A4282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31EF334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（6）公共卫生间：</w:t>
            </w:r>
          </w:p>
          <w:p w14:paraId="178DD97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 ①保持干净，无异味，垃圾无溢出，每日至少开展1次清洁作业。</w:t>
            </w:r>
          </w:p>
          <w:p w14:paraId="20445D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 xml:space="preserve"> ②及时补充厕纸等必要用品。</w:t>
            </w:r>
          </w:p>
        </w:tc>
      </w:tr>
      <w:tr w14:paraId="0465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33AB16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4219F8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6B2C4C3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（7）平台、屋顶、天沟保持干净，有杂物及时清扫，每月至少开展1次清洁作业。</w:t>
            </w:r>
          </w:p>
        </w:tc>
      </w:tr>
      <w:tr w14:paraId="4AE5C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21A28A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199A7A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7D7DCE0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（8）</w:t>
            </w:r>
            <w:r>
              <w:rPr>
                <w:rFonts w:hint="eastAsia" w:ascii="仿宋" w:hAnsi="仿宋" w:eastAsia="仿宋" w:cs="仿宋"/>
                <w:color w:val="auto"/>
                <w:sz w:val="28"/>
                <w:szCs w:val="28"/>
                <w:highlight w:val="none"/>
                <w:u w:val="none"/>
                <w:lang w:val="en-US" w:eastAsia="zh-CN"/>
              </w:rPr>
              <w:t>石材地面、内墙做好养护工作</w:t>
            </w:r>
            <w:r>
              <w:rPr>
                <w:rFonts w:hint="eastAsia" w:ascii="仿宋" w:hAnsi="仿宋" w:eastAsia="仿宋" w:cs="仿宋"/>
                <w:b w:val="0"/>
                <w:bCs w:val="0"/>
                <w:color w:val="auto"/>
                <w:kern w:val="0"/>
                <w:sz w:val="28"/>
                <w:szCs w:val="28"/>
                <w:highlight w:val="none"/>
                <w:lang w:val="en-US" w:eastAsia="zh-CN"/>
              </w:rPr>
              <w:t>，每季度开展1次清洁作业。（各类材质地面、内墙服务管理标准详见3.4.1）</w:t>
            </w:r>
          </w:p>
        </w:tc>
      </w:tr>
      <w:tr w14:paraId="3275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838" w:type="dxa"/>
            <w:vMerge w:val="continue"/>
            <w:noWrap w:val="0"/>
            <w:vAlign w:val="center"/>
          </w:tcPr>
          <w:p w14:paraId="6C1325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2B026B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48C93D3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（9）</w:t>
            </w:r>
            <w:r>
              <w:rPr>
                <w:rFonts w:hint="eastAsia" w:ascii="仿宋" w:hAnsi="仿宋" w:eastAsia="仿宋" w:cs="仿宋"/>
                <w:color w:val="auto"/>
                <w:sz w:val="28"/>
                <w:szCs w:val="28"/>
                <w:highlight w:val="none"/>
                <w:u w:val="none"/>
                <w:lang w:val="en-US" w:eastAsia="zh-CN"/>
              </w:rPr>
              <w:t>地毯干净、无油渍、无污渍、无褪色</w:t>
            </w:r>
            <w:r>
              <w:rPr>
                <w:rFonts w:hint="eastAsia" w:ascii="仿宋" w:hAnsi="仿宋" w:eastAsia="仿宋" w:cs="仿宋"/>
                <w:b w:val="0"/>
                <w:bCs w:val="0"/>
                <w:color w:val="auto"/>
                <w:kern w:val="0"/>
                <w:sz w:val="28"/>
                <w:szCs w:val="28"/>
                <w:highlight w:val="none"/>
                <w:lang w:val="en-US" w:eastAsia="zh-CN"/>
              </w:rPr>
              <w:t>，每月至少开展1次清洁作业。</w:t>
            </w:r>
          </w:p>
        </w:tc>
      </w:tr>
      <w:tr w14:paraId="2417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restart"/>
            <w:noWrap w:val="0"/>
            <w:vAlign w:val="center"/>
          </w:tcPr>
          <w:p w14:paraId="556AE6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089" w:type="dxa"/>
            <w:vMerge w:val="restart"/>
            <w:noWrap w:val="0"/>
            <w:vAlign w:val="center"/>
          </w:tcPr>
          <w:p w14:paraId="0ABFBF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公共场地区域保洁</w:t>
            </w:r>
          </w:p>
        </w:tc>
        <w:tc>
          <w:tcPr>
            <w:tcW w:w="6364" w:type="dxa"/>
            <w:noWrap w:val="0"/>
            <w:vAlign w:val="center"/>
          </w:tcPr>
          <w:p w14:paraId="69EE79B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（1）每日清扫道路地面、停车场等公共区域2次，保持干净、无杂物、无积水。</w:t>
            </w:r>
          </w:p>
        </w:tc>
      </w:tr>
      <w:tr w14:paraId="1713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10DD81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089" w:type="dxa"/>
            <w:vMerge w:val="continue"/>
            <w:noWrap w:val="0"/>
            <w:vAlign w:val="center"/>
          </w:tcPr>
          <w:p w14:paraId="65F848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3D9902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（2）雪、冰冻等恶劣天气时及时清扫积水、积雪，并采取安全防护措施。</w:t>
            </w:r>
          </w:p>
        </w:tc>
      </w:tr>
      <w:tr w14:paraId="644F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710870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089" w:type="dxa"/>
            <w:vMerge w:val="continue"/>
            <w:noWrap w:val="0"/>
            <w:vAlign w:val="center"/>
          </w:tcPr>
          <w:p w14:paraId="64A33B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537200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（3）各种路标、宣传栏等保持干净，每月至少开展1次清洁作业。</w:t>
            </w:r>
          </w:p>
        </w:tc>
      </w:tr>
      <w:tr w14:paraId="760FF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454D53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089" w:type="dxa"/>
            <w:vMerge w:val="continue"/>
            <w:noWrap w:val="0"/>
            <w:vAlign w:val="center"/>
          </w:tcPr>
          <w:p w14:paraId="1F701D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148B7A8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（4）清洁室外照明设备，每月至少开展1次清洁作业。</w:t>
            </w:r>
          </w:p>
        </w:tc>
      </w:tr>
      <w:tr w14:paraId="43FF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449FD4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089" w:type="dxa"/>
            <w:vMerge w:val="continue"/>
            <w:noWrap w:val="0"/>
            <w:vAlign w:val="center"/>
          </w:tcPr>
          <w:p w14:paraId="3989FE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7C73C30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kern w:val="0"/>
                <w:sz w:val="28"/>
                <w:szCs w:val="28"/>
                <w:highlight w:val="none"/>
                <w:lang w:val="en-US" w:eastAsia="zh-CN"/>
              </w:rPr>
              <w:t>（5）绿地内无杂物、无改变用途和破坏、践踏、占用现象，每天至少开展1次巡查。</w:t>
            </w:r>
          </w:p>
        </w:tc>
      </w:tr>
      <w:tr w14:paraId="365C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38" w:type="dxa"/>
            <w:vMerge w:val="continue"/>
            <w:noWrap w:val="0"/>
            <w:vAlign w:val="center"/>
          </w:tcPr>
          <w:p w14:paraId="5B2D01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rPr>
            </w:pPr>
          </w:p>
        </w:tc>
        <w:tc>
          <w:tcPr>
            <w:tcW w:w="2089" w:type="dxa"/>
            <w:vMerge w:val="continue"/>
            <w:noWrap w:val="0"/>
            <w:vAlign w:val="center"/>
          </w:tcPr>
          <w:p w14:paraId="6D202B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3184764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w:t>
            </w:r>
            <w:r>
              <w:rPr>
                <w:rFonts w:hint="eastAsia" w:ascii="仿宋" w:hAnsi="仿宋" w:eastAsia="仿宋" w:cs="仿宋"/>
                <w:color w:val="auto"/>
                <w:sz w:val="28"/>
                <w:szCs w:val="28"/>
                <w:highlight w:val="none"/>
              </w:rPr>
              <w:t>办公区外立面</w:t>
            </w:r>
            <w:r>
              <w:rPr>
                <w:rFonts w:hint="eastAsia" w:ascii="仿宋" w:hAnsi="仿宋" w:eastAsia="仿宋" w:cs="仿宋"/>
                <w:color w:val="auto"/>
                <w:sz w:val="28"/>
                <w:szCs w:val="28"/>
                <w:highlight w:val="none"/>
                <w:u w:val="none"/>
                <w:lang w:val="en-US" w:eastAsia="zh-CN"/>
              </w:rPr>
              <w:t>定期</w:t>
            </w:r>
            <w:r>
              <w:rPr>
                <w:rFonts w:hint="eastAsia" w:ascii="仿宋" w:hAnsi="仿宋" w:eastAsia="仿宋" w:cs="仿宋"/>
                <w:color w:val="auto"/>
                <w:sz w:val="28"/>
                <w:szCs w:val="28"/>
                <w:highlight w:val="none"/>
              </w:rPr>
              <w:t>清洗、</w:t>
            </w:r>
            <w:r>
              <w:rPr>
                <w:rFonts w:hint="eastAsia" w:ascii="仿宋" w:hAnsi="仿宋" w:eastAsia="仿宋" w:cs="仿宋"/>
                <w:color w:val="auto"/>
                <w:sz w:val="28"/>
                <w:szCs w:val="28"/>
                <w:highlight w:val="none"/>
                <w:lang w:val="en-US" w:eastAsia="zh-CN"/>
              </w:rPr>
              <w:t>2米以上</w:t>
            </w:r>
            <w:r>
              <w:rPr>
                <w:rFonts w:hint="eastAsia" w:ascii="仿宋" w:hAnsi="仿宋" w:eastAsia="仿宋" w:cs="仿宋"/>
                <w:color w:val="auto"/>
                <w:sz w:val="28"/>
                <w:szCs w:val="28"/>
                <w:highlight w:val="none"/>
              </w:rPr>
              <w:t>外窗玻璃擦拭</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每年</w:t>
            </w:r>
            <w:r>
              <w:rPr>
                <w:rFonts w:hint="eastAsia" w:ascii="仿宋" w:hAnsi="仿宋" w:eastAsia="仿宋" w:cs="仿宋"/>
                <w:b w:val="0"/>
                <w:bCs w:val="0"/>
                <w:color w:val="auto"/>
                <w:kern w:val="0"/>
                <w:sz w:val="28"/>
                <w:szCs w:val="28"/>
                <w:highlight w:val="none"/>
                <w:lang w:val="en-US" w:eastAsia="zh-CN"/>
              </w:rPr>
              <w:t>至少开展</w:t>
            </w:r>
            <w:r>
              <w:rPr>
                <w:rFonts w:hint="eastAsia" w:ascii="仿宋" w:hAnsi="仿宋" w:eastAsia="仿宋" w:cs="仿宋"/>
                <w:color w:val="auto"/>
                <w:sz w:val="28"/>
                <w:szCs w:val="28"/>
                <w:highlight w:val="none"/>
                <w:lang w:val="en-US" w:eastAsia="zh-CN"/>
              </w:rPr>
              <w:t>1次清洗。</w:t>
            </w:r>
            <w:r>
              <w:rPr>
                <w:rFonts w:hint="eastAsia" w:ascii="仿宋" w:hAnsi="仿宋" w:eastAsia="仿宋" w:cs="仿宋"/>
                <w:b w:val="0"/>
                <w:bCs w:val="0"/>
                <w:color w:val="auto"/>
                <w:kern w:val="0"/>
                <w:sz w:val="28"/>
                <w:szCs w:val="28"/>
                <w:highlight w:val="none"/>
                <w:lang w:val="en-US" w:eastAsia="zh-CN"/>
              </w:rPr>
              <w:t>（各类材质外立面服务标准详见3.4.1）</w:t>
            </w:r>
          </w:p>
        </w:tc>
      </w:tr>
      <w:tr w14:paraId="2953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restart"/>
            <w:noWrap w:val="0"/>
            <w:vAlign w:val="center"/>
          </w:tcPr>
          <w:p w14:paraId="3CFA75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089" w:type="dxa"/>
            <w:vMerge w:val="restart"/>
            <w:noWrap w:val="0"/>
            <w:vAlign w:val="center"/>
          </w:tcPr>
          <w:p w14:paraId="5B87C1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垃圾处理</w:t>
            </w:r>
          </w:p>
        </w:tc>
        <w:tc>
          <w:tcPr>
            <w:tcW w:w="6364" w:type="dxa"/>
            <w:noWrap w:val="0"/>
            <w:vAlign w:val="center"/>
          </w:tcPr>
          <w:p w14:paraId="64B383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（1）在指定位置摆放分类垃圾桶，并在显著处张贴垃圾分类标识。分类垃圾桶和垃圾分类标识根据所在城市的要求设置。</w:t>
            </w:r>
          </w:p>
        </w:tc>
      </w:tr>
      <w:tr w14:paraId="6ACAF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22962F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27EC3B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732BFF6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（2）桶身表面干净无污渍，每日开展至少1次清洁作业。</w:t>
            </w:r>
          </w:p>
        </w:tc>
      </w:tr>
      <w:tr w14:paraId="05BC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77F407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3E43B9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5968386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（3）垃圾中转房保持整洁，无明显异味，每日至少开展1次清洁作业。</w:t>
            </w:r>
          </w:p>
        </w:tc>
      </w:tr>
      <w:tr w14:paraId="1B097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1142CF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57BA19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8A7B50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（4）化粪池清掏，无明显异味，每半年至少开展1次清洁作业。</w:t>
            </w:r>
          </w:p>
        </w:tc>
      </w:tr>
      <w:tr w14:paraId="350B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0537AB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4F09C0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79A4878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（5）</w:t>
            </w:r>
            <w:r>
              <w:rPr>
                <w:rFonts w:hint="eastAsia" w:ascii="仿宋" w:hAnsi="仿宋" w:eastAsia="仿宋" w:cs="仿宋"/>
                <w:color w:val="auto"/>
                <w:sz w:val="28"/>
                <w:szCs w:val="28"/>
                <w:highlight w:val="none"/>
                <w:u w:val="none"/>
                <w:lang w:val="en-US" w:eastAsia="zh-CN"/>
              </w:rPr>
              <w:t>每个工作日内要对楼层产生的垃圾，进行清理分类，并运至垃圾集中堆放点。</w:t>
            </w:r>
          </w:p>
        </w:tc>
      </w:tr>
      <w:tr w14:paraId="33A7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770914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49AC03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3B38848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（6）垃圾装袋，日产日清。</w:t>
            </w:r>
          </w:p>
        </w:tc>
      </w:tr>
      <w:tr w14:paraId="175D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5B35C7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52895D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58F7CCD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（7）建立垃圾清运台账，交由规范的渠道回收处理。</w:t>
            </w:r>
          </w:p>
        </w:tc>
      </w:tr>
      <w:tr w14:paraId="5613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8" w:type="dxa"/>
            <w:vMerge w:val="continue"/>
            <w:noWrap w:val="0"/>
            <w:vAlign w:val="center"/>
          </w:tcPr>
          <w:p w14:paraId="77BD10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6DD2F0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3EED57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kern w:val="0"/>
                <w:sz w:val="28"/>
                <w:szCs w:val="28"/>
                <w:highlight w:val="none"/>
                <w:lang w:val="en-US" w:eastAsia="zh-CN"/>
              </w:rPr>
              <w:t>（8）</w:t>
            </w:r>
            <w:r>
              <w:rPr>
                <w:rFonts w:hint="eastAsia" w:ascii="仿宋" w:hAnsi="仿宋" w:eastAsia="仿宋" w:cs="仿宋"/>
                <w:color w:val="auto"/>
                <w:sz w:val="28"/>
                <w:szCs w:val="28"/>
                <w:highlight w:val="none"/>
                <w:u w:val="none"/>
                <w:lang w:val="en-US" w:eastAsia="zh-CN"/>
              </w:rPr>
              <w:t>做好垃圾分类管理的宣传工作，督促并引导全员参与垃圾分类投放。</w:t>
            </w:r>
          </w:p>
        </w:tc>
      </w:tr>
      <w:tr w14:paraId="450B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838" w:type="dxa"/>
            <w:vMerge w:val="continue"/>
            <w:noWrap w:val="0"/>
            <w:vAlign w:val="center"/>
          </w:tcPr>
          <w:p w14:paraId="3DC28C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38ADA7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062801C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（9）</w:t>
            </w:r>
            <w:r>
              <w:rPr>
                <w:rFonts w:hint="eastAsia" w:ascii="仿宋" w:hAnsi="仿宋" w:eastAsia="仿宋" w:cs="仿宋"/>
                <w:color w:val="auto"/>
                <w:sz w:val="28"/>
                <w:szCs w:val="28"/>
                <w:highlight w:val="none"/>
                <w:u w:val="none"/>
                <w:lang w:val="en-US" w:eastAsia="zh-CN"/>
              </w:rPr>
              <w:t>垃圾分类投放管理工作的执行标准，按</w:t>
            </w:r>
            <w:r>
              <w:rPr>
                <w:rFonts w:hint="eastAsia" w:ascii="仿宋" w:hAnsi="仿宋" w:eastAsia="仿宋" w:cs="仿宋"/>
                <w:b w:val="0"/>
                <w:bCs w:val="0"/>
                <w:color w:val="auto"/>
                <w:kern w:val="0"/>
                <w:sz w:val="28"/>
                <w:szCs w:val="28"/>
                <w:highlight w:val="none"/>
                <w:lang w:val="en-US" w:eastAsia="zh-CN"/>
              </w:rPr>
              <w:t>所在城市</w:t>
            </w:r>
            <w:r>
              <w:rPr>
                <w:rFonts w:hint="eastAsia" w:ascii="仿宋" w:hAnsi="仿宋" w:eastAsia="仿宋" w:cs="仿宋"/>
                <w:color w:val="auto"/>
                <w:sz w:val="28"/>
                <w:szCs w:val="28"/>
                <w:highlight w:val="none"/>
                <w:u w:val="none"/>
                <w:lang w:val="en-US" w:eastAsia="zh-CN"/>
              </w:rPr>
              <w:t>的要求执行。</w:t>
            </w:r>
          </w:p>
        </w:tc>
      </w:tr>
      <w:tr w14:paraId="38146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38" w:type="dxa"/>
            <w:vMerge w:val="restart"/>
            <w:noWrap w:val="0"/>
            <w:vAlign w:val="center"/>
          </w:tcPr>
          <w:p w14:paraId="04EE79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089" w:type="dxa"/>
            <w:vMerge w:val="restart"/>
            <w:noWrap w:val="0"/>
            <w:vAlign w:val="center"/>
          </w:tcPr>
          <w:p w14:paraId="491FCE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卫生消毒</w:t>
            </w:r>
          </w:p>
        </w:tc>
        <w:tc>
          <w:tcPr>
            <w:tcW w:w="6364" w:type="dxa"/>
            <w:noWrap w:val="0"/>
            <w:vAlign w:val="center"/>
          </w:tcPr>
          <w:p w14:paraId="2E29EA6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（1）办公用房区域、公共场所区域和周围环境预防性卫生消毒，</w:t>
            </w:r>
            <w:r>
              <w:rPr>
                <w:rFonts w:hint="eastAsia" w:ascii="仿宋" w:hAnsi="仿宋" w:eastAsia="仿宋" w:cs="仿宋"/>
                <w:color w:val="auto"/>
                <w:sz w:val="28"/>
                <w:szCs w:val="28"/>
                <w:highlight w:val="none"/>
                <w:u w:val="none"/>
                <w:lang w:val="en-US" w:eastAsia="zh-CN"/>
              </w:rPr>
              <w:t>消毒后及时通风，每周</w:t>
            </w:r>
            <w:r>
              <w:rPr>
                <w:rFonts w:hint="eastAsia" w:ascii="仿宋" w:hAnsi="仿宋" w:eastAsia="仿宋" w:cs="仿宋"/>
                <w:b w:val="0"/>
                <w:bCs w:val="0"/>
                <w:color w:val="auto"/>
                <w:kern w:val="0"/>
                <w:sz w:val="28"/>
                <w:szCs w:val="28"/>
                <w:highlight w:val="none"/>
                <w:lang w:val="en-US" w:eastAsia="zh-CN"/>
              </w:rPr>
              <w:t>至少开展</w:t>
            </w:r>
            <w:r>
              <w:rPr>
                <w:rFonts w:hint="eastAsia" w:ascii="仿宋" w:hAnsi="仿宋" w:eastAsia="仿宋" w:cs="仿宋"/>
                <w:color w:val="auto"/>
                <w:sz w:val="28"/>
                <w:szCs w:val="28"/>
                <w:highlight w:val="none"/>
                <w:u w:val="none"/>
                <w:lang w:val="en-US" w:eastAsia="zh-CN"/>
              </w:rPr>
              <w:t>1次作业。</w:t>
            </w:r>
          </w:p>
        </w:tc>
      </w:tr>
      <w:tr w14:paraId="6543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38" w:type="dxa"/>
            <w:vMerge w:val="continue"/>
            <w:noWrap w:val="0"/>
            <w:vAlign w:val="center"/>
          </w:tcPr>
          <w:p w14:paraId="5272E7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6F2EF5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5A4E3EB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（2）采取综合措施消灭老鼠、蟑螂，控制室内外蚊虫孳生，达到基本无蝇</w:t>
            </w:r>
            <w:r>
              <w:rPr>
                <w:rFonts w:hint="eastAsia" w:ascii="仿宋" w:hAnsi="仿宋" w:eastAsia="仿宋" w:cs="仿宋"/>
                <w:color w:val="auto"/>
                <w:sz w:val="28"/>
                <w:szCs w:val="28"/>
                <w:highlight w:val="none"/>
                <w:u w:val="none"/>
                <w:lang w:val="en-US" w:eastAsia="zh-CN"/>
              </w:rPr>
              <w:t>，每季度</w:t>
            </w:r>
            <w:r>
              <w:rPr>
                <w:rFonts w:hint="eastAsia" w:ascii="仿宋" w:hAnsi="仿宋" w:eastAsia="仿宋" w:cs="仿宋"/>
                <w:b w:val="0"/>
                <w:bCs w:val="0"/>
                <w:color w:val="auto"/>
                <w:kern w:val="0"/>
                <w:sz w:val="28"/>
                <w:szCs w:val="28"/>
                <w:highlight w:val="none"/>
                <w:lang w:val="en-US" w:eastAsia="zh-CN"/>
              </w:rPr>
              <w:t>至少开展</w:t>
            </w:r>
            <w:r>
              <w:rPr>
                <w:rFonts w:hint="eastAsia" w:ascii="仿宋" w:hAnsi="仿宋" w:eastAsia="仿宋" w:cs="仿宋"/>
                <w:color w:val="auto"/>
                <w:sz w:val="28"/>
                <w:szCs w:val="28"/>
                <w:highlight w:val="none"/>
                <w:u w:val="none"/>
                <w:lang w:val="en-US" w:eastAsia="zh-CN"/>
              </w:rPr>
              <w:t>1次作业。</w:t>
            </w:r>
          </w:p>
        </w:tc>
      </w:tr>
      <w:tr w14:paraId="70E0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8" w:type="dxa"/>
            <w:vMerge w:val="continue"/>
            <w:noWrap w:val="0"/>
            <w:vAlign w:val="center"/>
          </w:tcPr>
          <w:p w14:paraId="5244CA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089" w:type="dxa"/>
            <w:vMerge w:val="continue"/>
            <w:noWrap w:val="0"/>
            <w:vAlign w:val="center"/>
          </w:tcPr>
          <w:p w14:paraId="2DFBAF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64" w:type="dxa"/>
            <w:noWrap w:val="0"/>
            <w:vAlign w:val="center"/>
          </w:tcPr>
          <w:p w14:paraId="38A33FB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（3）发生公共卫生事件时，邀请专业单位开展消毒、检测等工作。</w:t>
            </w:r>
          </w:p>
        </w:tc>
      </w:tr>
    </w:tbl>
    <w:p w14:paraId="0B083AFA">
      <w:pPr>
        <w:pStyle w:val="3"/>
        <w:bidi w:val="0"/>
        <w:rPr>
          <w:rFonts w:hint="eastAsia" w:ascii="仿宋" w:hAnsi="仿宋" w:eastAsia="仿宋" w:cs="仿宋"/>
          <w:color w:val="auto"/>
          <w:sz w:val="28"/>
          <w:szCs w:val="28"/>
          <w:highlight w:val="none"/>
          <w:lang w:val="en-US" w:eastAsia="zh-CN"/>
        </w:rPr>
      </w:pPr>
    </w:p>
    <w:p w14:paraId="7613159C">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3.4.1具体清洁要求</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926"/>
        <w:gridCol w:w="5745"/>
      </w:tblGrid>
      <w:tr w14:paraId="32D6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7" w:type="dxa"/>
            <w:noWrap w:val="0"/>
            <w:vAlign w:val="center"/>
          </w:tcPr>
          <w:p w14:paraId="48A76756">
            <w:pPr>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序号</w:t>
            </w:r>
          </w:p>
        </w:tc>
        <w:tc>
          <w:tcPr>
            <w:tcW w:w="2116" w:type="dxa"/>
            <w:noWrap w:val="0"/>
            <w:vAlign w:val="center"/>
          </w:tcPr>
          <w:p w14:paraId="088BA34C">
            <w:pPr>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材质</w:t>
            </w:r>
          </w:p>
        </w:tc>
        <w:tc>
          <w:tcPr>
            <w:tcW w:w="6387" w:type="dxa"/>
            <w:noWrap w:val="0"/>
            <w:vAlign w:val="center"/>
          </w:tcPr>
          <w:p w14:paraId="3CB277AF">
            <w:pPr>
              <w:jc w:val="center"/>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b/>
                <w:bCs/>
                <w:color w:val="auto"/>
                <w:sz w:val="28"/>
                <w:szCs w:val="28"/>
                <w:highlight w:val="none"/>
                <w:vertAlign w:val="baseline"/>
                <w:lang w:val="en-US" w:eastAsia="zh-CN"/>
              </w:rPr>
              <w:t>清洁要求</w:t>
            </w:r>
          </w:p>
        </w:tc>
      </w:tr>
      <w:tr w14:paraId="1416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7" w:type="dxa"/>
            <w:vMerge w:val="restart"/>
            <w:noWrap w:val="0"/>
            <w:vAlign w:val="center"/>
          </w:tcPr>
          <w:p w14:paraId="65FE66F0">
            <w:pPr>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1</w:t>
            </w:r>
          </w:p>
        </w:tc>
        <w:tc>
          <w:tcPr>
            <w:tcW w:w="2116" w:type="dxa"/>
            <w:vMerge w:val="restart"/>
            <w:noWrap w:val="0"/>
            <w:vAlign w:val="center"/>
          </w:tcPr>
          <w:p w14:paraId="5608219B">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瓷砖地面</w:t>
            </w:r>
          </w:p>
        </w:tc>
        <w:tc>
          <w:tcPr>
            <w:tcW w:w="6387" w:type="dxa"/>
            <w:noWrap w:val="0"/>
            <w:vAlign w:val="center"/>
          </w:tcPr>
          <w:p w14:paraId="3A04D0B2">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仿宋" w:hAnsi="仿宋" w:eastAsia="仿宋" w:cs="仿宋"/>
                <w:color w:val="auto"/>
                <w:sz w:val="28"/>
                <w:szCs w:val="28"/>
                <w:highlight w:val="none"/>
              </w:rPr>
              <w:t>日常清洁：</w:t>
            </w:r>
            <w:r>
              <w:rPr>
                <w:rFonts w:hint="eastAsia" w:ascii="仿宋" w:hAnsi="仿宋" w:eastAsia="仿宋" w:cs="仿宋"/>
                <w:color w:val="auto"/>
                <w:sz w:val="28"/>
                <w:szCs w:val="28"/>
                <w:highlight w:val="none"/>
                <w:lang w:val="en-US" w:eastAsia="zh-CN"/>
              </w:rPr>
              <w:t>推尘，保持地面干净无杂物。</w:t>
            </w:r>
          </w:p>
        </w:tc>
      </w:tr>
      <w:tr w14:paraId="6167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87" w:type="dxa"/>
            <w:vMerge w:val="continue"/>
            <w:noWrap w:val="0"/>
            <w:vAlign w:val="center"/>
          </w:tcPr>
          <w:p w14:paraId="1EBB45F7">
            <w:pPr>
              <w:jc w:val="center"/>
              <w:rPr>
                <w:rFonts w:hint="eastAsia" w:ascii="仿宋" w:hAnsi="仿宋" w:eastAsia="仿宋" w:cs="仿宋"/>
                <w:color w:val="auto"/>
                <w:sz w:val="28"/>
                <w:szCs w:val="28"/>
                <w:highlight w:val="none"/>
                <w:vertAlign w:val="baseline"/>
                <w:lang w:val="en-US" w:eastAsia="zh-CN"/>
              </w:rPr>
            </w:pPr>
          </w:p>
        </w:tc>
        <w:tc>
          <w:tcPr>
            <w:tcW w:w="2116" w:type="dxa"/>
            <w:vMerge w:val="continue"/>
            <w:noWrap w:val="0"/>
            <w:vAlign w:val="center"/>
          </w:tcPr>
          <w:p w14:paraId="1ADADD4D">
            <w:pPr>
              <w:jc w:val="both"/>
              <w:rPr>
                <w:rFonts w:hint="eastAsia" w:ascii="仿宋" w:hAnsi="仿宋" w:eastAsia="仿宋" w:cs="仿宋"/>
                <w:color w:val="auto"/>
                <w:sz w:val="28"/>
                <w:szCs w:val="28"/>
                <w:highlight w:val="none"/>
                <w:vertAlign w:val="baseline"/>
                <w:lang w:val="en-US" w:eastAsia="zh-CN"/>
              </w:rPr>
            </w:pPr>
          </w:p>
        </w:tc>
        <w:tc>
          <w:tcPr>
            <w:tcW w:w="6387" w:type="dxa"/>
            <w:noWrap w:val="0"/>
            <w:vAlign w:val="center"/>
          </w:tcPr>
          <w:p w14:paraId="06C9127F">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仿宋" w:hAnsi="仿宋" w:eastAsia="仿宋" w:cs="仿宋"/>
                <w:color w:val="auto"/>
                <w:sz w:val="28"/>
                <w:szCs w:val="28"/>
                <w:highlight w:val="none"/>
                <w:lang w:val="en-US" w:eastAsia="zh-CN"/>
              </w:rPr>
              <w:t>深度清洁：使用洗洁精或肥皂水清理。</w:t>
            </w:r>
          </w:p>
        </w:tc>
      </w:tr>
      <w:tr w14:paraId="11EF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7" w:type="dxa"/>
            <w:noWrap w:val="0"/>
            <w:vAlign w:val="center"/>
          </w:tcPr>
          <w:p w14:paraId="09A84DD7">
            <w:pPr>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2</w:t>
            </w:r>
          </w:p>
        </w:tc>
        <w:tc>
          <w:tcPr>
            <w:tcW w:w="2116" w:type="dxa"/>
            <w:noWrap w:val="0"/>
            <w:vAlign w:val="center"/>
          </w:tcPr>
          <w:p w14:paraId="44ED65EC">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乳胶漆内墙</w:t>
            </w:r>
          </w:p>
        </w:tc>
        <w:tc>
          <w:tcPr>
            <w:tcW w:w="6387" w:type="dxa"/>
            <w:noWrap w:val="0"/>
            <w:vAlign w:val="center"/>
          </w:tcPr>
          <w:p w14:paraId="4BAF217E">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有污渍时用半干布擦拭。</w:t>
            </w:r>
          </w:p>
        </w:tc>
      </w:tr>
      <w:tr w14:paraId="53AA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7" w:type="dxa"/>
            <w:noWrap w:val="0"/>
            <w:vAlign w:val="center"/>
          </w:tcPr>
          <w:p w14:paraId="70AE82BB">
            <w:pPr>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3</w:t>
            </w:r>
          </w:p>
        </w:tc>
        <w:tc>
          <w:tcPr>
            <w:tcW w:w="2116" w:type="dxa"/>
            <w:noWrap w:val="0"/>
            <w:vAlign w:val="center"/>
          </w:tcPr>
          <w:p w14:paraId="11EBAA34">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真石漆外墙</w:t>
            </w:r>
          </w:p>
        </w:tc>
        <w:tc>
          <w:tcPr>
            <w:tcW w:w="6387" w:type="dxa"/>
            <w:noWrap w:val="0"/>
            <w:vAlign w:val="center"/>
          </w:tcPr>
          <w:p w14:paraId="75FD2BCC">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定期专业清洗，每季度一次。</w:t>
            </w:r>
          </w:p>
        </w:tc>
      </w:tr>
      <w:tr w14:paraId="3E19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7" w:type="dxa"/>
            <w:noWrap w:val="0"/>
            <w:vAlign w:val="center"/>
          </w:tcPr>
          <w:p w14:paraId="142DDA21">
            <w:pPr>
              <w:jc w:val="center"/>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4</w:t>
            </w:r>
          </w:p>
        </w:tc>
        <w:tc>
          <w:tcPr>
            <w:tcW w:w="2116" w:type="dxa"/>
            <w:noWrap w:val="0"/>
            <w:vAlign w:val="center"/>
          </w:tcPr>
          <w:p w14:paraId="02A848C5">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干挂石材外墙</w:t>
            </w:r>
          </w:p>
        </w:tc>
        <w:tc>
          <w:tcPr>
            <w:tcW w:w="6387" w:type="dxa"/>
            <w:noWrap w:val="0"/>
            <w:vAlign w:val="center"/>
          </w:tcPr>
          <w:p w14:paraId="5D92CFE6">
            <w:pPr>
              <w:jc w:val="both"/>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定期专业清洗，每季度一次。</w:t>
            </w:r>
          </w:p>
        </w:tc>
      </w:tr>
    </w:tbl>
    <w:p w14:paraId="07828924">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3.5绿化服务</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3685A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noWrap w:val="0"/>
            <w:vAlign w:val="center"/>
          </w:tcPr>
          <w:p w14:paraId="4B50EFE0">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175" w:type="dxa"/>
            <w:noWrap w:val="0"/>
            <w:vAlign w:val="center"/>
          </w:tcPr>
          <w:p w14:paraId="0B04488A">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414" w:type="dxa"/>
            <w:noWrap w:val="0"/>
            <w:vAlign w:val="center"/>
          </w:tcPr>
          <w:p w14:paraId="5E89AC8E">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2EB5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0EDD62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75" w:type="dxa"/>
            <w:vMerge w:val="restart"/>
            <w:noWrap w:val="0"/>
            <w:vAlign w:val="center"/>
          </w:tcPr>
          <w:p w14:paraId="5F06E1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基本要求</w:t>
            </w:r>
          </w:p>
        </w:tc>
        <w:tc>
          <w:tcPr>
            <w:tcW w:w="6414" w:type="dxa"/>
            <w:noWrap w:val="0"/>
            <w:vAlign w:val="center"/>
          </w:tcPr>
          <w:p w14:paraId="54A66C6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（1）制定绿化服务的工作制度及工作计划，并按照执行。</w:t>
            </w:r>
          </w:p>
        </w:tc>
      </w:tr>
      <w:tr w14:paraId="1681D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78A5B9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67B606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6E14445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（2）做好绿化服务工作记录，填写规范。</w:t>
            </w:r>
          </w:p>
        </w:tc>
      </w:tr>
      <w:tr w14:paraId="6138B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CE8EE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53CDD1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284D1DC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（3）作业时采取安全防护措施，防止对作业人员或他人造成伤害。</w:t>
            </w:r>
          </w:p>
        </w:tc>
      </w:tr>
      <w:tr w14:paraId="3A64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801" w:type="dxa"/>
            <w:vMerge w:val="continue"/>
            <w:noWrap w:val="0"/>
            <w:vAlign w:val="center"/>
          </w:tcPr>
          <w:p w14:paraId="5279B7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4DD5B7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kern w:val="2"/>
                <w:sz w:val="28"/>
                <w:szCs w:val="28"/>
                <w:highlight w:val="none"/>
                <w:lang w:val="en-US" w:eastAsia="zh-CN" w:bidi="ar-SA"/>
              </w:rPr>
            </w:pPr>
          </w:p>
        </w:tc>
        <w:tc>
          <w:tcPr>
            <w:tcW w:w="6414" w:type="dxa"/>
            <w:noWrap w:val="0"/>
            <w:vAlign w:val="center"/>
          </w:tcPr>
          <w:p w14:paraId="14222E5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（4）相关耗材的环保、安全性应当符合规定要求。</w:t>
            </w:r>
          </w:p>
        </w:tc>
      </w:tr>
      <w:tr w14:paraId="34E7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413C58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75" w:type="dxa"/>
            <w:vMerge w:val="restart"/>
            <w:noWrap w:val="0"/>
            <w:vAlign w:val="center"/>
          </w:tcPr>
          <w:p w14:paraId="07007F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室外绿化养护</w:t>
            </w:r>
          </w:p>
        </w:tc>
        <w:tc>
          <w:tcPr>
            <w:tcW w:w="6414" w:type="dxa"/>
            <w:noWrap w:val="0"/>
            <w:vAlign w:val="center"/>
          </w:tcPr>
          <w:p w14:paraId="21DD191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仿宋" w:hAnsi="仿宋" w:eastAsia="仿宋" w:cs="仿宋"/>
                <w:color w:val="auto"/>
                <w:sz w:val="28"/>
                <w:szCs w:val="28"/>
                <w:highlight w:val="none"/>
                <w:u w:val="none"/>
                <w:lang w:val="en-US" w:eastAsia="zh-CN"/>
              </w:rPr>
              <w:t>根据生长环境、植物特性进行除草、灌溉、施肥、整形修剪、防治病虫害等。</w:t>
            </w:r>
          </w:p>
        </w:tc>
      </w:tr>
      <w:tr w14:paraId="0876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7C7629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3DB4B3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7D9E936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（2）根据生长情况修剪绿地，绿地内无枯草、无杂物，</w:t>
            </w:r>
            <w:r>
              <w:rPr>
                <w:rFonts w:hint="eastAsia" w:ascii="仿宋" w:hAnsi="仿宋" w:eastAsia="仿宋" w:cs="仿宋"/>
                <w:color w:val="auto"/>
                <w:sz w:val="28"/>
                <w:szCs w:val="28"/>
                <w:highlight w:val="none"/>
                <w:u w:val="none"/>
                <w:lang w:val="en-US" w:eastAsia="zh-CN"/>
              </w:rPr>
              <w:t>无干枯坏死和病虫侵害，基本无裸露土地。</w:t>
            </w:r>
          </w:p>
        </w:tc>
      </w:tr>
      <w:tr w14:paraId="2BC8A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7FAA72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57B1BE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42F0A8D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（3）定期修剪树木、花卉等，</w:t>
            </w:r>
            <w:r>
              <w:rPr>
                <w:rFonts w:hint="eastAsia" w:ascii="仿宋" w:hAnsi="仿宋" w:eastAsia="仿宋" w:cs="仿宋"/>
                <w:color w:val="auto"/>
                <w:sz w:val="28"/>
                <w:szCs w:val="28"/>
                <w:highlight w:val="none"/>
                <w:u w:val="none"/>
                <w:lang w:val="en-US" w:eastAsia="zh-CN"/>
              </w:rPr>
              <w:t>灌乔木生长正常、造型美观自然、花枝新鲜，无枯叶、无病虫、无死树缺株。</w:t>
            </w:r>
          </w:p>
        </w:tc>
      </w:tr>
      <w:tr w14:paraId="0362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801" w:type="dxa"/>
            <w:vMerge w:val="continue"/>
            <w:noWrap w:val="0"/>
            <w:vAlign w:val="center"/>
          </w:tcPr>
          <w:p w14:paraId="535CA8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0C5135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3F5809A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w:t>
            </w:r>
            <w:r>
              <w:rPr>
                <w:rFonts w:hint="eastAsia" w:ascii="仿宋" w:hAnsi="仿宋" w:eastAsia="仿宋" w:cs="仿宋"/>
                <w:color w:val="auto"/>
                <w:sz w:val="28"/>
                <w:szCs w:val="28"/>
                <w:highlight w:val="none"/>
                <w:u w:val="none"/>
                <w:lang w:val="en-US" w:eastAsia="zh-CN"/>
              </w:rPr>
              <w:t>绿篱生长造型正常，颜色正常，修剪及时，基本无死株和干死株，有虫株率在10%以下。</w:t>
            </w:r>
          </w:p>
        </w:tc>
      </w:tr>
      <w:tr w14:paraId="6A6A4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416C7E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3C92C5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1597A2C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（5）根据病虫害发生规律实施综合治理，通常在病虫率高时，以药剂杀死病虫，以确保植物良好生长。产生垃圾的主要区域和路段做到日产日清。</w:t>
            </w:r>
          </w:p>
        </w:tc>
      </w:tr>
      <w:tr w14:paraId="054ED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BDFE5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524AE4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414" w:type="dxa"/>
            <w:noWrap w:val="0"/>
            <w:vAlign w:val="center"/>
          </w:tcPr>
          <w:p w14:paraId="0370517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（6）雨雪、冰冻等恶劣天气来临前，专人巡查，对绿植做好预防措施，排除安全隐患。</w:t>
            </w:r>
          </w:p>
        </w:tc>
      </w:tr>
      <w:tr w14:paraId="24E2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01" w:type="dxa"/>
            <w:vMerge w:val="continue"/>
            <w:noWrap w:val="0"/>
            <w:vAlign w:val="center"/>
          </w:tcPr>
          <w:p w14:paraId="7D2B8E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5" w:type="dxa"/>
            <w:vMerge w:val="continue"/>
            <w:noWrap w:val="0"/>
            <w:vAlign w:val="center"/>
          </w:tcPr>
          <w:p w14:paraId="104ED0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kern w:val="2"/>
                <w:sz w:val="28"/>
                <w:szCs w:val="28"/>
                <w:highlight w:val="none"/>
                <w:lang w:val="en-US" w:eastAsia="zh-CN" w:bidi="ar-SA"/>
              </w:rPr>
            </w:pPr>
          </w:p>
        </w:tc>
        <w:tc>
          <w:tcPr>
            <w:tcW w:w="6414" w:type="dxa"/>
            <w:noWrap w:val="0"/>
            <w:vAlign w:val="center"/>
          </w:tcPr>
          <w:p w14:paraId="5421DA6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（7）恶劣天气后，及时清除倒树断枝，疏通道路，尽快恢复原状。</w:t>
            </w:r>
          </w:p>
        </w:tc>
      </w:tr>
    </w:tbl>
    <w:p w14:paraId="77D725B5">
      <w:pPr>
        <w:pStyle w:val="3"/>
        <w:jc w:val="both"/>
        <w:rPr>
          <w:rFonts w:hint="eastAsia" w:ascii="仿宋" w:hAnsi="仿宋" w:eastAsia="仿宋" w:cs="仿宋"/>
          <w:b/>
          <w:bCs w:val="0"/>
          <w:i w:val="0"/>
          <w:iCs w:val="0"/>
          <w:color w:val="auto"/>
          <w:sz w:val="28"/>
          <w:szCs w:val="28"/>
          <w:highlight w:val="none"/>
          <w:u w:val="none"/>
          <w:lang w:val="en-US" w:eastAsia="zh-CN"/>
        </w:rPr>
      </w:pPr>
      <w:r>
        <w:rPr>
          <w:rFonts w:hint="eastAsia" w:ascii="仿宋" w:hAnsi="仿宋" w:eastAsia="仿宋" w:cs="仿宋"/>
          <w:b/>
          <w:bCs w:val="0"/>
          <w:i w:val="0"/>
          <w:iCs w:val="0"/>
          <w:color w:val="auto"/>
          <w:sz w:val="28"/>
          <w:szCs w:val="28"/>
          <w:highlight w:val="none"/>
          <w:u w:val="none"/>
          <w:lang w:val="en-US" w:eastAsia="zh-CN"/>
        </w:rPr>
        <w:t>3.6</w:t>
      </w:r>
      <w:r>
        <w:rPr>
          <w:rFonts w:hint="eastAsia" w:ascii="仿宋" w:hAnsi="仿宋" w:eastAsia="仿宋" w:cs="仿宋"/>
          <w:color w:val="auto"/>
          <w:kern w:val="2"/>
          <w:sz w:val="28"/>
          <w:szCs w:val="28"/>
          <w:highlight w:val="none"/>
          <w:u w:val="none"/>
          <w:lang w:val="en-US" w:eastAsia="zh-CN" w:bidi="ar-SA"/>
        </w:rPr>
        <w:t>保安服务</w:t>
      </w:r>
    </w:p>
    <w:tbl>
      <w:tblPr>
        <w:tblStyle w:val="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0"/>
        <w:gridCol w:w="5782"/>
      </w:tblGrid>
      <w:tr w14:paraId="38F1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noWrap w:val="0"/>
            <w:vAlign w:val="center"/>
          </w:tcPr>
          <w:p w14:paraId="062FB1FB">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2174" w:type="dxa"/>
            <w:noWrap w:val="0"/>
            <w:vAlign w:val="center"/>
          </w:tcPr>
          <w:p w14:paraId="135B7E6C">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6378" w:type="dxa"/>
            <w:noWrap w:val="0"/>
            <w:vAlign w:val="center"/>
          </w:tcPr>
          <w:p w14:paraId="4A963881">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76FB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42C5DD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2174" w:type="dxa"/>
            <w:vMerge w:val="restart"/>
            <w:noWrap w:val="0"/>
            <w:vAlign w:val="center"/>
          </w:tcPr>
          <w:p w14:paraId="652E05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基本要求</w:t>
            </w:r>
          </w:p>
        </w:tc>
        <w:tc>
          <w:tcPr>
            <w:tcW w:w="6378" w:type="dxa"/>
            <w:noWrap w:val="0"/>
            <w:vAlign w:val="center"/>
          </w:tcPr>
          <w:p w14:paraId="41E4B47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（1）建立保安服务相关制度，并按照执行。</w:t>
            </w:r>
          </w:p>
        </w:tc>
      </w:tr>
      <w:tr w14:paraId="357F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3F512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10FA2F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3AB078C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（2）对巡查、值守及异常情况等做好相关记录，填写规范，保存完好。</w:t>
            </w:r>
          </w:p>
        </w:tc>
      </w:tr>
      <w:tr w14:paraId="36FA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0" w:type="dxa"/>
            <w:vMerge w:val="continue"/>
            <w:noWrap w:val="0"/>
            <w:vAlign w:val="center"/>
          </w:tcPr>
          <w:p w14:paraId="267FDB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223279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1DB252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（3）配备保安服务必要的器材。</w:t>
            </w:r>
          </w:p>
        </w:tc>
      </w:tr>
      <w:tr w14:paraId="37416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41741E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2174" w:type="dxa"/>
            <w:vMerge w:val="restart"/>
            <w:noWrap w:val="0"/>
            <w:vAlign w:val="center"/>
          </w:tcPr>
          <w:p w14:paraId="0EAE90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出入管理</w:t>
            </w:r>
          </w:p>
        </w:tc>
        <w:tc>
          <w:tcPr>
            <w:tcW w:w="6378" w:type="dxa"/>
            <w:noWrap w:val="0"/>
            <w:vAlign w:val="center"/>
          </w:tcPr>
          <w:p w14:paraId="6A4F643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（1）办公楼（区）主出入口应当实行 24小时值班制。</w:t>
            </w:r>
          </w:p>
        </w:tc>
      </w:tr>
      <w:tr w14:paraId="42B0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CB8BF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4587BA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244F402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（2）设置门岗。</w:t>
            </w:r>
          </w:p>
        </w:tc>
      </w:tr>
      <w:tr w14:paraId="114C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F7A87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E541A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7E506CB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（3）在出入口对外来人员及其携带大件物品、外来车辆进行询问和记录，并与相关部门取得联系，同意后方可进入。</w:t>
            </w:r>
          </w:p>
        </w:tc>
      </w:tr>
      <w:tr w14:paraId="622F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8FF13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216220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2880DD4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（4）大件物品搬出有相关部门开具的证明和清单，经核实后放行。</w:t>
            </w:r>
          </w:p>
        </w:tc>
      </w:tr>
      <w:tr w14:paraId="3298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10" w:type="dxa"/>
            <w:vMerge w:val="continue"/>
            <w:noWrap w:val="0"/>
            <w:vAlign w:val="center"/>
          </w:tcPr>
          <w:p w14:paraId="47EC85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2E1E53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CDE6A4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（5）排查可疑人员，对于不出示证件、不按规定登记、不听劝阻而强行闯入者，及时劝离，必要时通知公安机关进行处理。</w:t>
            </w:r>
          </w:p>
        </w:tc>
      </w:tr>
      <w:tr w14:paraId="2388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7F42FA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1B77F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5663543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（6）配合相关部门积极疏导上访人员，有效疏导如出入口人群集聚、车辆拥堵、货物堵塞道路等情况。</w:t>
            </w:r>
          </w:p>
        </w:tc>
      </w:tr>
      <w:tr w14:paraId="6610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FF538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74536D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5A80467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1808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10" w:type="dxa"/>
            <w:vMerge w:val="continue"/>
            <w:noWrap w:val="0"/>
            <w:vAlign w:val="center"/>
          </w:tcPr>
          <w:p w14:paraId="66F5B1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08BF3C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FA02D5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（8）提供现场接待服务。</w:t>
            </w:r>
          </w:p>
          <w:p w14:paraId="64CD76E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val="en-US" w:eastAsia="zh-CN"/>
              </w:rPr>
              <w:t>①</w:t>
            </w:r>
            <w:r>
              <w:rPr>
                <w:rFonts w:hint="eastAsia" w:ascii="仿宋" w:hAnsi="仿宋" w:eastAsia="仿宋" w:cs="仿宋"/>
                <w:color w:val="auto"/>
                <w:sz w:val="28"/>
                <w:szCs w:val="28"/>
                <w:highlight w:val="none"/>
                <w:u w:val="none"/>
                <w:lang w:eastAsia="zh-CN"/>
              </w:rPr>
              <w:t>做好来访人员、车辆进出证件登记，及时通报。</w:t>
            </w:r>
          </w:p>
          <w:p w14:paraId="53E26BB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val="en-US" w:eastAsia="zh-CN"/>
              </w:rPr>
              <w:t>②</w:t>
            </w:r>
            <w:r>
              <w:rPr>
                <w:rFonts w:hint="eastAsia" w:ascii="仿宋" w:hAnsi="仿宋" w:eastAsia="仿宋" w:cs="仿宋"/>
                <w:color w:val="auto"/>
                <w:sz w:val="28"/>
                <w:szCs w:val="28"/>
                <w:highlight w:val="none"/>
                <w:u w:val="none"/>
                <w:lang w:eastAsia="zh-CN"/>
              </w:rPr>
              <w:t>严禁无关人员、可疑人员和危险物品进入办公楼（区）内。</w:t>
            </w:r>
          </w:p>
          <w:p w14:paraId="140AC8B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③物品摆放整齐有序、分类放置。</w:t>
            </w:r>
          </w:p>
          <w:p w14:paraId="752C854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④现场办理等待时间不超过5分钟，等待较长时间应</w:t>
            </w:r>
            <w:r>
              <w:rPr>
                <w:rFonts w:hint="eastAsia" w:ascii="仿宋" w:hAnsi="仿宋" w:eastAsia="仿宋" w:cs="仿宋"/>
                <w:color w:val="auto"/>
                <w:sz w:val="28"/>
                <w:szCs w:val="28"/>
                <w:highlight w:val="none"/>
                <w:u w:val="none"/>
                <w:lang w:eastAsia="zh-CN"/>
              </w:rPr>
              <w:t>当</w:t>
            </w:r>
            <w:r>
              <w:rPr>
                <w:rFonts w:hint="eastAsia" w:ascii="仿宋" w:hAnsi="仿宋" w:eastAsia="仿宋" w:cs="仿宋"/>
                <w:color w:val="auto"/>
                <w:sz w:val="28"/>
                <w:szCs w:val="28"/>
                <w:highlight w:val="none"/>
                <w:u w:val="none"/>
              </w:rPr>
              <w:t>及时沟通。</w:t>
            </w:r>
          </w:p>
          <w:p w14:paraId="1988F6A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⑤对来访人员咨询、建议、求助等事项，及时处理或答复，处理和答复率100%。</w:t>
            </w:r>
          </w:p>
          <w:p w14:paraId="042D364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⑥接待服务工作时间应</w:t>
            </w:r>
            <w:r>
              <w:rPr>
                <w:rFonts w:hint="eastAsia" w:ascii="仿宋" w:hAnsi="仿宋" w:eastAsia="仿宋" w:cs="仿宋"/>
                <w:color w:val="auto"/>
                <w:sz w:val="28"/>
                <w:szCs w:val="28"/>
                <w:highlight w:val="none"/>
                <w:u w:val="none"/>
                <w:lang w:eastAsia="zh-CN"/>
              </w:rPr>
              <w:t>当</w:t>
            </w:r>
            <w:r>
              <w:rPr>
                <w:rFonts w:hint="eastAsia" w:ascii="仿宋" w:hAnsi="仿宋" w:eastAsia="仿宋" w:cs="仿宋"/>
                <w:color w:val="auto"/>
                <w:sz w:val="28"/>
                <w:szCs w:val="28"/>
                <w:highlight w:val="none"/>
                <w:u w:val="none"/>
              </w:rPr>
              <w:t>覆盖采购人工作时间</w:t>
            </w:r>
          </w:p>
          <w:p w14:paraId="4F25468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⑦与被访人进行核实确认；告知被访人的办公室门牌号；告知访客注意事项（</w:t>
            </w:r>
            <w:r>
              <w:rPr>
                <w:rFonts w:hint="eastAsia" w:ascii="仿宋" w:hAnsi="仿宋" w:eastAsia="仿宋" w:cs="仿宋"/>
                <w:color w:val="auto"/>
                <w:sz w:val="28"/>
                <w:szCs w:val="28"/>
                <w:highlight w:val="none"/>
                <w:u w:val="none"/>
                <w:lang w:val="en-US" w:eastAsia="zh-CN"/>
              </w:rPr>
              <w:t>根据实际需要</w:t>
            </w:r>
            <w:r>
              <w:rPr>
                <w:rFonts w:hint="eastAsia" w:ascii="仿宋" w:hAnsi="仿宋" w:eastAsia="仿宋" w:cs="仿宋"/>
                <w:color w:val="auto"/>
                <w:sz w:val="28"/>
                <w:szCs w:val="28"/>
                <w:highlight w:val="none"/>
                <w:u w:val="none"/>
              </w:rPr>
              <w:t>填写</w:t>
            </w:r>
            <w:r>
              <w:rPr>
                <w:rFonts w:hint="eastAsia" w:ascii="仿宋" w:hAnsi="仿宋" w:eastAsia="仿宋" w:cs="仿宋"/>
                <w:color w:val="auto"/>
                <w:sz w:val="28"/>
                <w:szCs w:val="28"/>
                <w:highlight w:val="none"/>
                <w:u w:val="none"/>
                <w:lang w:val="en-US" w:eastAsia="zh-CN"/>
              </w:rPr>
              <w:t>注意事项</w:t>
            </w:r>
            <w:r>
              <w:rPr>
                <w:rFonts w:hint="eastAsia" w:ascii="仿宋" w:hAnsi="仿宋" w:eastAsia="仿宋" w:cs="仿宋"/>
                <w:color w:val="auto"/>
                <w:sz w:val="28"/>
                <w:szCs w:val="28"/>
                <w:highlight w:val="none"/>
                <w:u w:val="none"/>
              </w:rPr>
              <w:t>）。</w:t>
            </w:r>
          </w:p>
        </w:tc>
      </w:tr>
      <w:tr w14:paraId="4713D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5A3895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174" w:type="dxa"/>
            <w:vMerge w:val="restart"/>
            <w:noWrap w:val="0"/>
            <w:vAlign w:val="center"/>
          </w:tcPr>
          <w:p w14:paraId="089A4A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值班</w:t>
            </w:r>
            <w:r>
              <w:rPr>
                <w:rFonts w:hint="eastAsia" w:ascii="仿宋" w:hAnsi="仿宋" w:eastAsia="仿宋" w:cs="仿宋"/>
                <w:color w:val="auto"/>
                <w:sz w:val="28"/>
                <w:szCs w:val="28"/>
                <w:highlight w:val="none"/>
              </w:rPr>
              <w:t>巡查</w:t>
            </w:r>
          </w:p>
        </w:tc>
        <w:tc>
          <w:tcPr>
            <w:tcW w:w="6378" w:type="dxa"/>
            <w:noWrap w:val="0"/>
            <w:vAlign w:val="center"/>
          </w:tcPr>
          <w:p w14:paraId="2A647009">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（1）建立24小时值班巡查制度。</w:t>
            </w:r>
          </w:p>
        </w:tc>
      </w:tr>
      <w:tr w14:paraId="023E6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3A1D043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0CE896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378" w:type="dxa"/>
            <w:noWrap w:val="0"/>
            <w:vAlign w:val="center"/>
          </w:tcPr>
          <w:p w14:paraId="32C3E75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（2）制定巡查路线，按照指定时间和路线执行，加强重点区域、重点部位及装修区域的巡查。</w:t>
            </w:r>
          </w:p>
        </w:tc>
      </w:tr>
      <w:tr w14:paraId="3467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E6EC1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42FA24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val="en-US" w:eastAsia="zh-CN"/>
              </w:rPr>
            </w:pPr>
          </w:p>
        </w:tc>
        <w:tc>
          <w:tcPr>
            <w:tcW w:w="6378" w:type="dxa"/>
            <w:noWrap w:val="0"/>
            <w:vAlign w:val="center"/>
          </w:tcPr>
          <w:p w14:paraId="09A818A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（3）巡查期间保持通信设施设备畅通，遇到异常情况立即上报并在现场采取相应措施。</w:t>
            </w:r>
          </w:p>
        </w:tc>
      </w:tr>
      <w:tr w14:paraId="2EA6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10" w:type="dxa"/>
            <w:vMerge w:val="continue"/>
            <w:noWrap w:val="0"/>
            <w:vAlign w:val="center"/>
          </w:tcPr>
          <w:p w14:paraId="02782B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728C3E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9A7DE9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（4）收到监控室指令后，巡查人员及时到达指定地点并迅速采取相应措施。</w:t>
            </w:r>
          </w:p>
        </w:tc>
      </w:tr>
      <w:tr w14:paraId="5454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1D6016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174" w:type="dxa"/>
            <w:vMerge w:val="restart"/>
            <w:noWrap w:val="0"/>
            <w:vAlign w:val="center"/>
          </w:tcPr>
          <w:p w14:paraId="57E1BA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车辆停放</w:t>
            </w:r>
          </w:p>
        </w:tc>
        <w:tc>
          <w:tcPr>
            <w:tcW w:w="6378" w:type="dxa"/>
            <w:noWrap w:val="0"/>
            <w:vAlign w:val="center"/>
          </w:tcPr>
          <w:p w14:paraId="5CB3E3F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（1）车辆行驶路线设置合理、规范，导向标志完整、清晰。</w:t>
            </w:r>
          </w:p>
        </w:tc>
      </w:tr>
      <w:tr w14:paraId="47DE6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CFD81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72FC20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12EA7FC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（2）合理规划车辆停放区域，张贴车辆引导标识，对车辆及停放区域实行规范管理。</w:t>
            </w:r>
          </w:p>
        </w:tc>
      </w:tr>
      <w:tr w14:paraId="2F52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D344E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47000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45EA90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（3）严禁在办公楼的公用走道、楼梯间、安全出口处等公共区域停放车辆或充电。</w:t>
            </w:r>
          </w:p>
        </w:tc>
      </w:tr>
      <w:tr w14:paraId="346B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053AF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763F0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3005B05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（4）非机动车定点有序停放。</w:t>
            </w:r>
          </w:p>
        </w:tc>
      </w:tr>
      <w:tr w14:paraId="7463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10" w:type="dxa"/>
            <w:vMerge w:val="continue"/>
            <w:noWrap w:val="0"/>
            <w:vAlign w:val="center"/>
          </w:tcPr>
          <w:p w14:paraId="5DA920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204671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71A3FFA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（5）发现车辆异常情况及时通知车主，并做好登记；发生交通事故、自然灾害等意外事故时及时赶赴现场疏导和协助处理，响应时间不超过3分钟。</w:t>
            </w:r>
          </w:p>
        </w:tc>
      </w:tr>
      <w:tr w14:paraId="37CE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6736BE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174" w:type="dxa"/>
            <w:vMerge w:val="restart"/>
            <w:noWrap w:val="0"/>
            <w:vAlign w:val="center"/>
          </w:tcPr>
          <w:p w14:paraId="0E9C29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消防安全管理</w:t>
            </w:r>
          </w:p>
        </w:tc>
        <w:tc>
          <w:tcPr>
            <w:tcW w:w="6378" w:type="dxa"/>
            <w:noWrap w:val="0"/>
            <w:vAlign w:val="center"/>
          </w:tcPr>
          <w:p w14:paraId="137DB36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（1）建立消防安全责任制，确定各级消防安全责任人及其职责。</w:t>
            </w:r>
          </w:p>
        </w:tc>
      </w:tr>
      <w:tr w14:paraId="732E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0" w:type="dxa"/>
            <w:vMerge w:val="continue"/>
            <w:noWrap w:val="0"/>
            <w:vAlign w:val="center"/>
          </w:tcPr>
          <w:p w14:paraId="7C9218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1B4070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636D4AA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（2）消火栓、应急照明、应急物资、消防及人员逃生通道、消防车通道可随时正常使用。</w:t>
            </w:r>
          </w:p>
        </w:tc>
      </w:tr>
      <w:tr w14:paraId="7B22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ADD45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63B17C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38E092A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（3）易燃易爆品设专区专人管理，做好相关记录。</w:t>
            </w:r>
          </w:p>
        </w:tc>
      </w:tr>
      <w:tr w14:paraId="06DD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810" w:type="dxa"/>
            <w:vMerge w:val="continue"/>
            <w:noWrap w:val="0"/>
            <w:vAlign w:val="center"/>
          </w:tcPr>
          <w:p w14:paraId="0A1A32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74FE64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6442E26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（4）定期组织消防安全宣传，每半年至少开展1次消防演练。</w:t>
            </w:r>
          </w:p>
        </w:tc>
      </w:tr>
      <w:tr w14:paraId="4A18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32C559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174" w:type="dxa"/>
            <w:vMerge w:val="restart"/>
            <w:noWrap w:val="0"/>
            <w:vAlign w:val="center"/>
          </w:tcPr>
          <w:p w14:paraId="780CFA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突发事件处理</w:t>
            </w:r>
          </w:p>
        </w:tc>
        <w:tc>
          <w:tcPr>
            <w:tcW w:w="6378" w:type="dxa"/>
            <w:noWrap w:val="0"/>
            <w:vAlign w:val="center"/>
          </w:tcPr>
          <w:p w14:paraId="0D11CB0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（1）制定突发事件安全责任书，明确突发事件责任人及应承担的安全责任。</w:t>
            </w:r>
          </w:p>
        </w:tc>
      </w:tr>
      <w:tr w14:paraId="5EDC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DC625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68493A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2574C5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（2）建立应急突发事件处置队伍，明确各自的职责。</w:t>
            </w:r>
          </w:p>
        </w:tc>
      </w:tr>
      <w:tr w14:paraId="3890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C08D6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4A5909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0BFD919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（3）识别、分析各种潜在风险，针对不同风险类型制定相应解决方案，并配备应急物资。</w:t>
            </w:r>
          </w:p>
        </w:tc>
      </w:tr>
      <w:tr w14:paraId="5F5E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9D1E7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0C1431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394C1BA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（4）每半年至少开展1次突发事件应急演练，并有相应记录。</w:t>
            </w:r>
          </w:p>
        </w:tc>
      </w:tr>
      <w:tr w14:paraId="295D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C89BC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CA42A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26661E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（5）发生意外事件时，及时采取应急措施，维护办公区域物业服务正常进行，保护人身财产安全。</w:t>
            </w:r>
          </w:p>
        </w:tc>
      </w:tr>
      <w:tr w14:paraId="17DF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7026B9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191297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6DB06B7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（6）办公区域物业服务应急预案终止实施后，积极采取措施，在尽可能短的时间内，消除事故带来的不良影响，妥善安置和慰问受害及受影响的人员和部门。</w:t>
            </w:r>
          </w:p>
        </w:tc>
      </w:tr>
      <w:tr w14:paraId="3132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10" w:type="dxa"/>
            <w:vMerge w:val="continue"/>
            <w:noWrap w:val="0"/>
            <w:vAlign w:val="center"/>
          </w:tcPr>
          <w:p w14:paraId="3C0AC8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0C41FC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73C50D4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（7）事故处理后，及时形成事故应急总结报告，完善应急救援工作方案。</w:t>
            </w:r>
          </w:p>
        </w:tc>
      </w:tr>
      <w:tr w14:paraId="78CA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206165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174" w:type="dxa"/>
            <w:vMerge w:val="restart"/>
            <w:noWrap w:val="0"/>
            <w:vAlign w:val="center"/>
          </w:tcPr>
          <w:p w14:paraId="1D21DF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大型活动秩序</w:t>
            </w:r>
          </w:p>
        </w:tc>
        <w:tc>
          <w:tcPr>
            <w:tcW w:w="6378" w:type="dxa"/>
            <w:noWrap w:val="0"/>
            <w:vAlign w:val="center"/>
          </w:tcPr>
          <w:p w14:paraId="54B4258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（1）制定相应的活动秩序维护方案，合理安排人员，并对场所的安全隐患进行排查。</w:t>
            </w:r>
          </w:p>
        </w:tc>
      </w:tr>
      <w:tr w14:paraId="3393D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75CB15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53717F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13A589E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（2）应当保障通道、出入口、停车场等区域畅通。</w:t>
            </w:r>
          </w:p>
        </w:tc>
      </w:tr>
      <w:tr w14:paraId="03468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810" w:type="dxa"/>
            <w:vMerge w:val="continue"/>
            <w:noWrap w:val="0"/>
            <w:vAlign w:val="center"/>
          </w:tcPr>
          <w:p w14:paraId="547EA7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仿宋" w:hAnsi="仿宋" w:eastAsia="仿宋" w:cs="仿宋"/>
                <w:color w:val="auto"/>
                <w:sz w:val="28"/>
                <w:szCs w:val="28"/>
                <w:highlight w:val="none"/>
                <w:lang w:val="en-US" w:eastAsia="zh-CN"/>
              </w:rPr>
            </w:pPr>
          </w:p>
        </w:tc>
        <w:tc>
          <w:tcPr>
            <w:tcW w:w="2174" w:type="dxa"/>
            <w:vMerge w:val="continue"/>
            <w:noWrap w:val="0"/>
            <w:vAlign w:val="center"/>
          </w:tcPr>
          <w:p w14:paraId="0A2437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仿宋" w:hAnsi="仿宋" w:eastAsia="仿宋" w:cs="仿宋"/>
                <w:color w:val="auto"/>
                <w:sz w:val="28"/>
                <w:szCs w:val="28"/>
                <w:highlight w:val="none"/>
              </w:rPr>
            </w:pPr>
          </w:p>
        </w:tc>
        <w:tc>
          <w:tcPr>
            <w:tcW w:w="6378" w:type="dxa"/>
            <w:noWrap w:val="0"/>
            <w:vAlign w:val="center"/>
          </w:tcPr>
          <w:p w14:paraId="4972480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（3）活动举办过程中，做好现场秩序的维护和突发事故的处置工作，确保活动正常进行。</w:t>
            </w:r>
          </w:p>
        </w:tc>
      </w:tr>
    </w:tbl>
    <w:p w14:paraId="3DE31819">
      <w:pPr>
        <w:pStyle w:val="3"/>
        <w:bidi w:val="0"/>
        <w:jc w:val="lef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3.7会议服务</w:t>
      </w:r>
    </w:p>
    <w:tbl>
      <w:tblPr>
        <w:tblStyle w:val="6"/>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6"/>
      </w:tblGrid>
      <w:tr w14:paraId="0E39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281" w:type="dxa"/>
            <w:noWrap w:val="0"/>
            <w:vAlign w:val="center"/>
          </w:tcPr>
          <w:p w14:paraId="54159964">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序号</w:t>
            </w:r>
          </w:p>
        </w:tc>
        <w:tc>
          <w:tcPr>
            <w:tcW w:w="3348" w:type="dxa"/>
            <w:noWrap w:val="0"/>
            <w:vAlign w:val="center"/>
          </w:tcPr>
          <w:p w14:paraId="5DEF507E">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服务内容</w:t>
            </w:r>
          </w:p>
        </w:tc>
        <w:tc>
          <w:tcPr>
            <w:tcW w:w="9867" w:type="dxa"/>
            <w:noWrap w:val="0"/>
            <w:vAlign w:val="center"/>
          </w:tcPr>
          <w:p w14:paraId="300E9D64">
            <w:pPr>
              <w:pageBreakBefore w:val="0"/>
              <w:widowControl/>
              <w:kinsoku/>
              <w:wordWrap/>
              <w:overflowPunct/>
              <w:topLinePunct w:val="0"/>
              <w:bidi w:val="0"/>
              <w:snapToGrid w:val="0"/>
              <w:spacing w:line="300" w:lineRule="auto"/>
              <w:ind w:left="0"/>
              <w:jc w:val="center"/>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服务标准</w:t>
            </w:r>
          </w:p>
        </w:tc>
      </w:tr>
      <w:tr w14:paraId="364C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491E232B">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w:t>
            </w:r>
          </w:p>
        </w:tc>
        <w:tc>
          <w:tcPr>
            <w:tcW w:w="3348" w:type="dxa"/>
            <w:noWrap w:val="0"/>
            <w:vAlign w:val="center"/>
          </w:tcPr>
          <w:p w14:paraId="5058EBA8">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会议受理</w:t>
            </w:r>
          </w:p>
        </w:tc>
        <w:tc>
          <w:tcPr>
            <w:tcW w:w="9867" w:type="dxa"/>
            <w:noWrap w:val="0"/>
            <w:vAlign w:val="center"/>
          </w:tcPr>
          <w:p w14:paraId="016015CC">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接受会议预订，记录会议需求。</w:t>
            </w:r>
          </w:p>
        </w:tc>
      </w:tr>
      <w:tr w14:paraId="57BB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5480FFE0">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w:t>
            </w:r>
          </w:p>
        </w:tc>
        <w:tc>
          <w:tcPr>
            <w:tcW w:w="3348" w:type="dxa"/>
            <w:noWrap w:val="0"/>
            <w:vAlign w:val="center"/>
          </w:tcPr>
          <w:p w14:paraId="223AE191">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会前准备</w:t>
            </w:r>
          </w:p>
        </w:tc>
        <w:tc>
          <w:tcPr>
            <w:tcW w:w="9867" w:type="dxa"/>
            <w:noWrap w:val="0"/>
            <w:vAlign w:val="center"/>
          </w:tcPr>
          <w:p w14:paraId="3FD0626D">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根据会议需求、场地大小、用途，明确会议桌椅、物品、设备、文具等摆放规定，音、视频设施保障措施。</w:t>
            </w:r>
          </w:p>
        </w:tc>
      </w:tr>
      <w:tr w14:paraId="23D0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14D9477">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3</w:t>
            </w:r>
          </w:p>
        </w:tc>
        <w:tc>
          <w:tcPr>
            <w:tcW w:w="3348" w:type="dxa"/>
            <w:noWrap w:val="0"/>
            <w:vAlign w:val="center"/>
          </w:tcPr>
          <w:p w14:paraId="61A57551">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引导服务</w:t>
            </w:r>
          </w:p>
        </w:tc>
        <w:tc>
          <w:tcPr>
            <w:tcW w:w="9867" w:type="dxa"/>
            <w:noWrap w:val="0"/>
            <w:vAlign w:val="center"/>
          </w:tcPr>
          <w:p w14:paraId="711C8956">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做好引导牌并放置在指定位置，引导人员引导手势规范，语言标准。</w:t>
            </w:r>
          </w:p>
        </w:tc>
      </w:tr>
      <w:tr w14:paraId="7952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D09D46C">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4</w:t>
            </w:r>
          </w:p>
        </w:tc>
        <w:tc>
          <w:tcPr>
            <w:tcW w:w="3348" w:type="dxa"/>
            <w:noWrap w:val="0"/>
            <w:vAlign w:val="center"/>
          </w:tcPr>
          <w:p w14:paraId="4BF5D6B7">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会中服务</w:t>
            </w:r>
          </w:p>
        </w:tc>
        <w:tc>
          <w:tcPr>
            <w:tcW w:w="9867" w:type="dxa"/>
            <w:noWrap w:val="0"/>
            <w:vAlign w:val="center"/>
          </w:tcPr>
          <w:p w14:paraId="6738ABC6">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会议期间按要求加水。</w:t>
            </w:r>
          </w:p>
        </w:tc>
      </w:tr>
      <w:tr w14:paraId="1D16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FBADB93">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5</w:t>
            </w:r>
          </w:p>
        </w:tc>
        <w:tc>
          <w:tcPr>
            <w:tcW w:w="3348" w:type="dxa"/>
            <w:noWrap w:val="0"/>
            <w:vAlign w:val="center"/>
          </w:tcPr>
          <w:p w14:paraId="5775DF3B">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会后整理</w:t>
            </w:r>
          </w:p>
        </w:tc>
        <w:tc>
          <w:tcPr>
            <w:tcW w:w="9867" w:type="dxa"/>
            <w:noWrap w:val="0"/>
            <w:vAlign w:val="center"/>
          </w:tcPr>
          <w:p w14:paraId="083940B5">
            <w:pPr>
              <w:pageBreakBefore w:val="0"/>
              <w:widowControl/>
              <w:numPr>
                <w:ilvl w:val="0"/>
                <w:numId w:val="0"/>
              </w:numPr>
              <w:kinsoku/>
              <w:wordWrap/>
              <w:overflowPunct/>
              <w:topLinePunct w:val="0"/>
              <w:bidi w:val="0"/>
              <w:snapToGrid w:val="0"/>
              <w:spacing w:line="300" w:lineRule="auto"/>
              <w:ind w:leftChars="0"/>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sz w:val="28"/>
                <w:szCs w:val="28"/>
                <w:highlight w:val="none"/>
                <w:u w:val="none"/>
                <w:lang w:val="en-US" w:eastAsia="zh-CN"/>
              </w:rPr>
              <w:t>对会议现场进行检查，做好会场清扫工作。</w:t>
            </w:r>
          </w:p>
        </w:tc>
      </w:tr>
    </w:tbl>
    <w:p w14:paraId="49BC7AE2">
      <w:pPr>
        <w:pStyle w:val="2"/>
        <w:bidi w:val="0"/>
        <w:jc w:val="both"/>
        <w:rPr>
          <w:rFonts w:hint="eastAsia" w:ascii="仿宋" w:hAnsi="仿宋" w:eastAsia="仿宋" w:cs="仿宋"/>
          <w:color w:val="auto"/>
          <w:sz w:val="28"/>
          <w:szCs w:val="28"/>
          <w:highlight w:val="none"/>
        </w:rPr>
      </w:pPr>
      <w:bookmarkStart w:id="6" w:name="_Toc26417"/>
      <w:bookmarkStart w:id="7" w:name="_Toc12052"/>
      <w:bookmarkStart w:id="8" w:name="_Toc27983"/>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物业服务人员需求</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4EEE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29C6854B">
            <w:pPr>
              <w:pageBreakBefore w:val="0"/>
              <w:widowControl/>
              <w:kinsoku/>
              <w:wordWrap/>
              <w:overflowPunct/>
              <w:topLinePunct w:val="0"/>
              <w:bidi w:val="0"/>
              <w:snapToGrid w:val="0"/>
              <w:spacing w:line="300" w:lineRule="auto"/>
              <w:ind w:left="0"/>
              <w:jc w:val="center"/>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rPr>
              <w:t>部门</w:t>
            </w:r>
            <w:r>
              <w:rPr>
                <w:rFonts w:hint="eastAsia" w:ascii="仿宋" w:hAnsi="仿宋" w:eastAsia="仿宋" w:cs="仿宋"/>
                <w:b/>
                <w:bCs w:val="0"/>
                <w:color w:val="auto"/>
                <w:sz w:val="28"/>
                <w:szCs w:val="28"/>
                <w:highlight w:val="none"/>
                <w:lang w:eastAsia="zh-CN"/>
              </w:rPr>
              <w:t>职能</w:t>
            </w:r>
          </w:p>
        </w:tc>
        <w:tc>
          <w:tcPr>
            <w:tcW w:w="1386" w:type="dxa"/>
            <w:noWrap w:val="0"/>
            <w:vAlign w:val="center"/>
          </w:tcPr>
          <w:p w14:paraId="2E020E8C">
            <w:pPr>
              <w:pageBreakBefore w:val="0"/>
              <w:widowControl/>
              <w:kinsoku/>
              <w:wordWrap/>
              <w:overflowPunct/>
              <w:topLinePunct w:val="0"/>
              <w:bidi w:val="0"/>
              <w:snapToGrid w:val="0"/>
              <w:spacing w:line="300" w:lineRule="auto"/>
              <w:ind w:left="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岗位</w:t>
            </w:r>
          </w:p>
        </w:tc>
        <w:tc>
          <w:tcPr>
            <w:tcW w:w="1493" w:type="dxa"/>
            <w:noWrap w:val="0"/>
            <w:vAlign w:val="center"/>
          </w:tcPr>
          <w:p w14:paraId="08CDB66E">
            <w:pPr>
              <w:pageBreakBefore w:val="0"/>
              <w:widowControl/>
              <w:kinsoku/>
              <w:wordWrap/>
              <w:overflowPunct/>
              <w:topLinePunct w:val="0"/>
              <w:bidi w:val="0"/>
              <w:snapToGrid w:val="0"/>
              <w:spacing w:line="300" w:lineRule="auto"/>
              <w:ind w:left="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同时在岗人数</w:t>
            </w:r>
          </w:p>
        </w:tc>
        <w:tc>
          <w:tcPr>
            <w:tcW w:w="2109" w:type="dxa"/>
            <w:noWrap w:val="0"/>
            <w:vAlign w:val="center"/>
          </w:tcPr>
          <w:p w14:paraId="34D660A3">
            <w:pPr>
              <w:pageBreakBefore w:val="0"/>
              <w:widowControl/>
              <w:kinsoku/>
              <w:wordWrap/>
              <w:overflowPunct/>
              <w:topLinePunct w:val="0"/>
              <w:bidi w:val="0"/>
              <w:snapToGrid w:val="0"/>
              <w:spacing w:line="300" w:lineRule="auto"/>
              <w:ind w:left="0"/>
              <w:jc w:val="center"/>
              <w:rPr>
                <w:rFonts w:hint="eastAsia" w:ascii="仿宋" w:hAnsi="仿宋" w:eastAsia="仿宋" w:cs="仿宋"/>
                <w:color w:val="auto"/>
                <w:sz w:val="28"/>
                <w:szCs w:val="28"/>
              </w:rPr>
            </w:pPr>
            <w:r>
              <w:rPr>
                <w:rFonts w:hint="eastAsia" w:ascii="仿宋" w:hAnsi="仿宋" w:eastAsia="仿宋" w:cs="仿宋"/>
                <w:b/>
                <w:bCs w:val="0"/>
                <w:color w:val="auto"/>
                <w:sz w:val="28"/>
                <w:szCs w:val="28"/>
                <w:highlight w:val="none"/>
              </w:rPr>
              <w:t>岗位所需总人数</w:t>
            </w:r>
          </w:p>
        </w:tc>
        <w:tc>
          <w:tcPr>
            <w:tcW w:w="3419" w:type="dxa"/>
            <w:noWrap w:val="0"/>
            <w:vAlign w:val="center"/>
          </w:tcPr>
          <w:p w14:paraId="4B540926">
            <w:pPr>
              <w:pageBreakBefore w:val="0"/>
              <w:widowControl/>
              <w:kinsoku/>
              <w:wordWrap/>
              <w:overflowPunct/>
              <w:topLinePunct w:val="0"/>
              <w:bidi w:val="0"/>
              <w:snapToGrid w:val="0"/>
              <w:spacing w:line="300" w:lineRule="auto"/>
              <w:ind w:left="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备注（岗位所需服务时长或时段、需具备的上岗资格证</w:t>
            </w:r>
            <w:r>
              <w:rPr>
                <w:rFonts w:hint="eastAsia" w:ascii="仿宋" w:hAnsi="仿宋" w:eastAsia="仿宋" w:cs="仿宋"/>
                <w:b/>
                <w:bCs w:val="0"/>
                <w:color w:val="auto"/>
                <w:sz w:val="28"/>
                <w:szCs w:val="28"/>
                <w:highlight w:val="none"/>
                <w:lang w:eastAsia="zh-CN"/>
              </w:rPr>
              <w:t>、人员学历、工作经验</w:t>
            </w:r>
            <w:r>
              <w:rPr>
                <w:rFonts w:hint="eastAsia" w:ascii="仿宋" w:hAnsi="仿宋" w:eastAsia="仿宋" w:cs="仿宋"/>
                <w:b/>
                <w:bCs w:val="0"/>
                <w:color w:val="auto"/>
                <w:sz w:val="28"/>
                <w:szCs w:val="28"/>
                <w:highlight w:val="none"/>
              </w:rPr>
              <w:t>等</w:t>
            </w:r>
            <w:r>
              <w:rPr>
                <w:rFonts w:hint="eastAsia" w:ascii="仿宋" w:hAnsi="仿宋" w:eastAsia="仿宋" w:cs="仿宋"/>
                <w:b/>
                <w:bCs w:val="0"/>
                <w:color w:val="auto"/>
                <w:sz w:val="28"/>
                <w:szCs w:val="28"/>
                <w:highlight w:val="none"/>
                <w:lang w:eastAsia="zh-CN"/>
              </w:rPr>
              <w:t>要求</w:t>
            </w:r>
            <w:r>
              <w:rPr>
                <w:rFonts w:hint="eastAsia" w:ascii="仿宋" w:hAnsi="仿宋" w:eastAsia="仿宋" w:cs="仿宋"/>
                <w:b/>
                <w:bCs w:val="0"/>
                <w:color w:val="auto"/>
                <w:sz w:val="28"/>
                <w:szCs w:val="28"/>
                <w:highlight w:val="none"/>
              </w:rPr>
              <w:t>）</w:t>
            </w:r>
          </w:p>
        </w:tc>
      </w:tr>
      <w:tr w14:paraId="4BA5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16487C4D">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服务中心</w:t>
            </w:r>
          </w:p>
        </w:tc>
        <w:tc>
          <w:tcPr>
            <w:tcW w:w="1386" w:type="dxa"/>
            <w:noWrap w:val="0"/>
            <w:vAlign w:val="center"/>
          </w:tcPr>
          <w:p w14:paraId="1824E54B">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项目经理</w:t>
            </w:r>
          </w:p>
        </w:tc>
        <w:tc>
          <w:tcPr>
            <w:tcW w:w="1493" w:type="dxa"/>
            <w:noWrap w:val="0"/>
            <w:vAlign w:val="center"/>
          </w:tcPr>
          <w:p w14:paraId="755258E8">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p>
        </w:tc>
        <w:tc>
          <w:tcPr>
            <w:tcW w:w="2109" w:type="dxa"/>
            <w:noWrap w:val="0"/>
            <w:vAlign w:val="center"/>
          </w:tcPr>
          <w:p w14:paraId="2BCB60DF">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p>
        </w:tc>
        <w:tc>
          <w:tcPr>
            <w:tcW w:w="3419" w:type="dxa"/>
            <w:noWrap w:val="0"/>
            <w:vAlign w:val="center"/>
          </w:tcPr>
          <w:p w14:paraId="02F1062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项目经理应具有大专以上文化程度，具备物业经理上岗证，有</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eastAsia="zh-CN"/>
              </w:rPr>
              <w:t>年以上的物业管理经验。</w:t>
            </w:r>
          </w:p>
        </w:tc>
      </w:tr>
      <w:tr w14:paraId="0EA0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994" w:type="dxa"/>
            <w:noWrap w:val="0"/>
            <w:vAlign w:val="center"/>
          </w:tcPr>
          <w:p w14:paraId="2DD0CFA7">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基本服务</w:t>
            </w:r>
          </w:p>
        </w:tc>
        <w:tc>
          <w:tcPr>
            <w:tcW w:w="1386" w:type="dxa"/>
            <w:noWrap w:val="0"/>
            <w:vAlign w:val="center"/>
          </w:tcPr>
          <w:p w14:paraId="69C5FB01">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维修人员</w:t>
            </w:r>
          </w:p>
        </w:tc>
        <w:tc>
          <w:tcPr>
            <w:tcW w:w="1493" w:type="dxa"/>
            <w:noWrap w:val="0"/>
            <w:vAlign w:val="center"/>
          </w:tcPr>
          <w:p w14:paraId="6FB67E99">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29978409">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0AF55E5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应具有大专以上文化程度，</w:t>
            </w:r>
            <w:r>
              <w:rPr>
                <w:rFonts w:hint="eastAsia" w:ascii="仿宋" w:hAnsi="仿宋" w:eastAsia="仿宋" w:cs="仿宋"/>
                <w:bCs/>
                <w:color w:val="auto"/>
                <w:sz w:val="28"/>
                <w:szCs w:val="28"/>
                <w:highlight w:val="none"/>
                <w:lang w:val="en-US" w:eastAsia="zh-CN"/>
              </w:rPr>
              <w:t>熟练掌握维修工作相关技能</w:t>
            </w:r>
            <w:r>
              <w:rPr>
                <w:rFonts w:hint="eastAsia" w:ascii="仿宋" w:hAnsi="仿宋" w:eastAsia="仿宋" w:cs="仿宋"/>
                <w:bCs/>
                <w:color w:val="auto"/>
                <w:sz w:val="28"/>
                <w:szCs w:val="28"/>
                <w:highlight w:val="none"/>
                <w:lang w:eastAsia="zh-CN"/>
              </w:rPr>
              <w:t>。</w:t>
            </w:r>
          </w:p>
        </w:tc>
      </w:tr>
      <w:tr w14:paraId="686C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994" w:type="dxa"/>
            <w:vMerge w:val="restart"/>
            <w:noWrap w:val="0"/>
            <w:vAlign w:val="center"/>
          </w:tcPr>
          <w:p w14:paraId="793C110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公用设施设备维护服务</w:t>
            </w:r>
          </w:p>
        </w:tc>
        <w:tc>
          <w:tcPr>
            <w:tcW w:w="1386" w:type="dxa"/>
            <w:noWrap w:val="0"/>
            <w:vAlign w:val="center"/>
          </w:tcPr>
          <w:p w14:paraId="126162F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水暖电工</w:t>
            </w:r>
          </w:p>
        </w:tc>
        <w:tc>
          <w:tcPr>
            <w:tcW w:w="1493" w:type="dxa"/>
            <w:noWrap w:val="0"/>
            <w:vAlign w:val="center"/>
          </w:tcPr>
          <w:p w14:paraId="027660FD">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69C4E3B8">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38725199">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持有</w:t>
            </w:r>
            <w:r>
              <w:rPr>
                <w:rFonts w:hint="eastAsia" w:ascii="仿宋" w:hAnsi="仿宋" w:eastAsia="仿宋" w:cs="仿宋"/>
                <w:bCs/>
                <w:color w:val="auto"/>
                <w:sz w:val="28"/>
                <w:szCs w:val="28"/>
                <w:highlight w:val="none"/>
              </w:rPr>
              <w:t>特种作业操作证</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低压电工</w:t>
            </w:r>
            <w:r>
              <w:rPr>
                <w:rFonts w:hint="eastAsia" w:ascii="仿宋" w:hAnsi="仿宋" w:eastAsia="仿宋" w:cs="仿宋"/>
                <w:bCs/>
                <w:color w:val="auto"/>
                <w:sz w:val="28"/>
                <w:szCs w:val="28"/>
                <w:highlight w:val="none"/>
                <w:lang w:val="en-US" w:eastAsia="zh-CN"/>
              </w:rPr>
              <w:t>作业</w:t>
            </w:r>
            <w:r>
              <w:rPr>
                <w:rFonts w:hint="eastAsia" w:ascii="仿宋" w:hAnsi="仿宋" w:eastAsia="仿宋" w:cs="仿宋"/>
                <w:bCs/>
                <w:color w:val="auto"/>
                <w:sz w:val="28"/>
                <w:szCs w:val="28"/>
                <w:highlight w:val="none"/>
                <w:lang w:eastAsia="zh-CN"/>
              </w:rPr>
              <w:t>）。</w:t>
            </w:r>
          </w:p>
        </w:tc>
      </w:tr>
      <w:tr w14:paraId="3DF0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994" w:type="dxa"/>
            <w:vMerge w:val="continue"/>
            <w:noWrap w:val="0"/>
            <w:vAlign w:val="center"/>
          </w:tcPr>
          <w:p w14:paraId="30D7299B">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p>
        </w:tc>
        <w:tc>
          <w:tcPr>
            <w:tcW w:w="1386" w:type="dxa"/>
            <w:noWrap w:val="0"/>
            <w:vAlign w:val="center"/>
          </w:tcPr>
          <w:p w14:paraId="33F251A5">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锅炉工</w:t>
            </w:r>
          </w:p>
        </w:tc>
        <w:tc>
          <w:tcPr>
            <w:tcW w:w="1493" w:type="dxa"/>
            <w:noWrap w:val="0"/>
            <w:vAlign w:val="center"/>
          </w:tcPr>
          <w:p w14:paraId="1F900746">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35565B9D">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45CDA445">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持有</w:t>
            </w:r>
            <w:r>
              <w:rPr>
                <w:rFonts w:hint="eastAsia" w:ascii="仿宋" w:hAnsi="仿宋" w:eastAsia="仿宋" w:cs="仿宋"/>
                <w:bCs/>
                <w:color w:val="auto"/>
                <w:sz w:val="28"/>
                <w:szCs w:val="28"/>
                <w:highlight w:val="none"/>
              </w:rPr>
              <w:t>特种设备作业人员证</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锅炉</w:t>
            </w:r>
            <w:r>
              <w:rPr>
                <w:rFonts w:hint="eastAsia" w:ascii="仿宋" w:hAnsi="仿宋" w:eastAsia="仿宋" w:cs="仿宋"/>
                <w:bCs/>
                <w:color w:val="auto"/>
                <w:sz w:val="28"/>
                <w:szCs w:val="28"/>
                <w:highlight w:val="none"/>
                <w:lang w:eastAsia="zh-CN"/>
              </w:rPr>
              <w:t>）。</w:t>
            </w:r>
          </w:p>
        </w:tc>
      </w:tr>
      <w:tr w14:paraId="2736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restart"/>
            <w:noWrap w:val="0"/>
            <w:vAlign w:val="center"/>
          </w:tcPr>
          <w:p w14:paraId="21B99C9D">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保洁服务</w:t>
            </w:r>
          </w:p>
        </w:tc>
        <w:tc>
          <w:tcPr>
            <w:tcW w:w="1386" w:type="dxa"/>
            <w:noWrap w:val="0"/>
            <w:vAlign w:val="center"/>
          </w:tcPr>
          <w:p w14:paraId="39637BAC">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保洁</w:t>
            </w:r>
            <w:r>
              <w:rPr>
                <w:rFonts w:hint="eastAsia" w:ascii="仿宋" w:hAnsi="仿宋" w:eastAsia="仿宋" w:cs="仿宋"/>
                <w:bCs/>
                <w:color w:val="auto"/>
                <w:sz w:val="28"/>
                <w:szCs w:val="28"/>
                <w:highlight w:val="none"/>
              </w:rPr>
              <w:t>主管</w:t>
            </w:r>
          </w:p>
        </w:tc>
        <w:tc>
          <w:tcPr>
            <w:tcW w:w="1493" w:type="dxa"/>
            <w:noWrap w:val="0"/>
            <w:vAlign w:val="center"/>
          </w:tcPr>
          <w:p w14:paraId="6C0FB920">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0980E1B3">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7F674146">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熟练掌握业务技能</w:t>
            </w:r>
            <w:r>
              <w:rPr>
                <w:rFonts w:hint="eastAsia" w:ascii="仿宋" w:hAnsi="仿宋" w:eastAsia="仿宋" w:cs="仿宋"/>
                <w:bCs/>
                <w:color w:val="auto"/>
                <w:sz w:val="28"/>
                <w:szCs w:val="28"/>
                <w:highlight w:val="none"/>
              </w:rPr>
              <w:t>，具有良好的沟通</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管理</w:t>
            </w:r>
            <w:r>
              <w:rPr>
                <w:rFonts w:hint="eastAsia" w:ascii="仿宋" w:hAnsi="仿宋" w:eastAsia="仿宋" w:cs="仿宋"/>
                <w:bCs/>
                <w:color w:val="auto"/>
                <w:sz w:val="28"/>
                <w:szCs w:val="28"/>
                <w:highlight w:val="none"/>
              </w:rPr>
              <w:t>能力</w:t>
            </w:r>
            <w:r>
              <w:rPr>
                <w:rFonts w:hint="eastAsia" w:ascii="仿宋" w:hAnsi="仿宋" w:eastAsia="仿宋" w:cs="仿宋"/>
                <w:bCs/>
                <w:color w:val="auto"/>
                <w:sz w:val="28"/>
                <w:szCs w:val="28"/>
                <w:highlight w:val="none"/>
                <w:lang w:eastAsia="zh-CN"/>
              </w:rPr>
              <w:t>。</w:t>
            </w:r>
          </w:p>
        </w:tc>
      </w:tr>
      <w:tr w14:paraId="6624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continue"/>
            <w:noWrap w:val="0"/>
            <w:vAlign w:val="center"/>
          </w:tcPr>
          <w:p w14:paraId="3B96845A">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p>
        </w:tc>
        <w:tc>
          <w:tcPr>
            <w:tcW w:w="1386" w:type="dxa"/>
            <w:noWrap w:val="0"/>
            <w:vAlign w:val="center"/>
          </w:tcPr>
          <w:p w14:paraId="29BCF997">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保洁员</w:t>
            </w:r>
          </w:p>
        </w:tc>
        <w:tc>
          <w:tcPr>
            <w:tcW w:w="1493" w:type="dxa"/>
            <w:noWrap w:val="0"/>
            <w:vAlign w:val="center"/>
          </w:tcPr>
          <w:p w14:paraId="0CC90E52">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10</w:t>
            </w:r>
          </w:p>
        </w:tc>
        <w:tc>
          <w:tcPr>
            <w:tcW w:w="2109" w:type="dxa"/>
            <w:noWrap w:val="0"/>
            <w:vAlign w:val="center"/>
          </w:tcPr>
          <w:p w14:paraId="4F8EA762">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10</w:t>
            </w:r>
          </w:p>
        </w:tc>
        <w:tc>
          <w:tcPr>
            <w:tcW w:w="3419" w:type="dxa"/>
            <w:noWrap w:val="0"/>
            <w:vAlign w:val="center"/>
          </w:tcPr>
          <w:p w14:paraId="0E1B240C">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工作时间为采购人行政办公时间。</w:t>
            </w:r>
          </w:p>
        </w:tc>
      </w:tr>
      <w:tr w14:paraId="196C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3B41964A">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绿化服务</w:t>
            </w:r>
          </w:p>
        </w:tc>
        <w:tc>
          <w:tcPr>
            <w:tcW w:w="1386" w:type="dxa"/>
            <w:noWrap w:val="0"/>
            <w:vAlign w:val="center"/>
          </w:tcPr>
          <w:p w14:paraId="3608DA17">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绿化</w:t>
            </w:r>
            <w:r>
              <w:rPr>
                <w:rFonts w:hint="eastAsia" w:ascii="仿宋" w:hAnsi="仿宋" w:eastAsia="仿宋" w:cs="仿宋"/>
                <w:bCs/>
                <w:color w:val="auto"/>
                <w:sz w:val="28"/>
                <w:szCs w:val="28"/>
                <w:highlight w:val="none"/>
                <w:lang w:val="en-US" w:eastAsia="zh-CN"/>
              </w:rPr>
              <w:t>养护</w:t>
            </w:r>
            <w:r>
              <w:rPr>
                <w:rFonts w:hint="eastAsia" w:ascii="仿宋" w:hAnsi="仿宋" w:eastAsia="仿宋" w:cs="仿宋"/>
                <w:bCs/>
                <w:color w:val="auto"/>
                <w:sz w:val="28"/>
                <w:szCs w:val="28"/>
                <w:highlight w:val="none"/>
              </w:rPr>
              <w:t>工</w:t>
            </w:r>
          </w:p>
        </w:tc>
        <w:tc>
          <w:tcPr>
            <w:tcW w:w="1493" w:type="dxa"/>
            <w:noWrap w:val="0"/>
            <w:vAlign w:val="center"/>
          </w:tcPr>
          <w:p w14:paraId="25FA5A57">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27EE925C">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110C7C9B">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熟练掌握业务技能。</w:t>
            </w:r>
          </w:p>
        </w:tc>
      </w:tr>
      <w:tr w14:paraId="1707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94" w:type="dxa"/>
            <w:vMerge w:val="restart"/>
            <w:noWrap w:val="0"/>
            <w:vAlign w:val="center"/>
          </w:tcPr>
          <w:p w14:paraId="72B3DDC8">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保安服务</w:t>
            </w:r>
          </w:p>
        </w:tc>
        <w:tc>
          <w:tcPr>
            <w:tcW w:w="1386" w:type="dxa"/>
            <w:noWrap w:val="0"/>
            <w:vAlign w:val="center"/>
          </w:tcPr>
          <w:p w14:paraId="2DE9B306">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保安队长</w:t>
            </w:r>
          </w:p>
        </w:tc>
        <w:tc>
          <w:tcPr>
            <w:tcW w:w="1493" w:type="dxa"/>
            <w:noWrap w:val="0"/>
            <w:vAlign w:val="center"/>
          </w:tcPr>
          <w:p w14:paraId="1424DFE0">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71DE6509">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3419" w:type="dxa"/>
            <w:noWrap w:val="0"/>
            <w:vAlign w:val="center"/>
          </w:tcPr>
          <w:p w14:paraId="5569C19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熟练掌握业务技能</w:t>
            </w:r>
            <w:r>
              <w:rPr>
                <w:rFonts w:hint="eastAsia" w:ascii="仿宋" w:hAnsi="仿宋" w:eastAsia="仿宋" w:cs="仿宋"/>
                <w:bCs/>
                <w:color w:val="auto"/>
                <w:sz w:val="28"/>
                <w:szCs w:val="28"/>
                <w:highlight w:val="none"/>
              </w:rPr>
              <w:t>，具有良好的沟通</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管理</w:t>
            </w:r>
            <w:r>
              <w:rPr>
                <w:rFonts w:hint="eastAsia" w:ascii="仿宋" w:hAnsi="仿宋" w:eastAsia="仿宋" w:cs="仿宋"/>
                <w:bCs/>
                <w:color w:val="auto"/>
                <w:sz w:val="28"/>
                <w:szCs w:val="28"/>
                <w:highlight w:val="none"/>
              </w:rPr>
              <w:t>能力</w:t>
            </w:r>
            <w:r>
              <w:rPr>
                <w:rFonts w:hint="eastAsia" w:ascii="仿宋" w:hAnsi="仿宋" w:eastAsia="仿宋" w:cs="仿宋"/>
                <w:bCs/>
                <w:color w:val="auto"/>
                <w:sz w:val="28"/>
                <w:szCs w:val="28"/>
                <w:highlight w:val="none"/>
                <w:lang w:val="en-US" w:eastAsia="zh-CN"/>
              </w:rPr>
              <w:t>，持有保安员证</w:t>
            </w:r>
            <w:r>
              <w:rPr>
                <w:rFonts w:hint="eastAsia" w:ascii="仿宋" w:hAnsi="仿宋" w:eastAsia="仿宋" w:cs="仿宋"/>
                <w:bCs/>
                <w:color w:val="auto"/>
                <w:sz w:val="28"/>
                <w:szCs w:val="28"/>
                <w:highlight w:val="none"/>
                <w:lang w:eastAsia="zh-CN"/>
              </w:rPr>
              <w:t>。</w:t>
            </w:r>
          </w:p>
        </w:tc>
      </w:tr>
      <w:tr w14:paraId="7851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continue"/>
            <w:noWrap w:val="0"/>
            <w:vAlign w:val="center"/>
          </w:tcPr>
          <w:p w14:paraId="172E57CF">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p>
        </w:tc>
        <w:tc>
          <w:tcPr>
            <w:tcW w:w="1386" w:type="dxa"/>
            <w:noWrap w:val="0"/>
            <w:vAlign w:val="center"/>
          </w:tcPr>
          <w:p w14:paraId="6CDED81B">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保安</w:t>
            </w:r>
          </w:p>
        </w:tc>
        <w:tc>
          <w:tcPr>
            <w:tcW w:w="1493" w:type="dxa"/>
            <w:noWrap w:val="0"/>
            <w:vAlign w:val="center"/>
          </w:tcPr>
          <w:p w14:paraId="1C91DCEE">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w:t>
            </w:r>
          </w:p>
        </w:tc>
        <w:tc>
          <w:tcPr>
            <w:tcW w:w="2109" w:type="dxa"/>
            <w:noWrap w:val="0"/>
            <w:vAlign w:val="center"/>
          </w:tcPr>
          <w:p w14:paraId="7141E953">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w:t>
            </w:r>
          </w:p>
        </w:tc>
        <w:tc>
          <w:tcPr>
            <w:tcW w:w="3419" w:type="dxa"/>
            <w:noWrap w:val="0"/>
            <w:vAlign w:val="center"/>
          </w:tcPr>
          <w:p w14:paraId="2873D73E">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实行24小时轮流值班，持有保安员证。</w:t>
            </w:r>
          </w:p>
        </w:tc>
      </w:tr>
      <w:tr w14:paraId="30A9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continue"/>
            <w:noWrap w:val="0"/>
            <w:vAlign w:val="center"/>
          </w:tcPr>
          <w:p w14:paraId="0C61AFD2">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rPr>
            </w:pPr>
          </w:p>
        </w:tc>
        <w:tc>
          <w:tcPr>
            <w:tcW w:w="1386" w:type="dxa"/>
            <w:noWrap w:val="0"/>
            <w:vAlign w:val="center"/>
          </w:tcPr>
          <w:p w14:paraId="03201280">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秩序维护人员</w:t>
            </w:r>
          </w:p>
        </w:tc>
        <w:tc>
          <w:tcPr>
            <w:tcW w:w="1493" w:type="dxa"/>
            <w:noWrap w:val="0"/>
            <w:vAlign w:val="center"/>
          </w:tcPr>
          <w:p w14:paraId="5339A01B">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w:t>
            </w:r>
          </w:p>
        </w:tc>
        <w:tc>
          <w:tcPr>
            <w:tcW w:w="2109" w:type="dxa"/>
            <w:noWrap w:val="0"/>
            <w:vAlign w:val="center"/>
          </w:tcPr>
          <w:p w14:paraId="701CCBC2">
            <w:pPr>
              <w:pageBreakBefore w:val="0"/>
              <w:widowControl/>
              <w:kinsoku/>
              <w:wordWrap/>
              <w:overflowPunct/>
              <w:topLinePunct w:val="0"/>
              <w:bidi w:val="0"/>
              <w:snapToGrid w:val="0"/>
              <w:spacing w:line="300" w:lineRule="auto"/>
              <w:ind w:left="0"/>
              <w:jc w:val="cente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p>
        </w:tc>
        <w:tc>
          <w:tcPr>
            <w:tcW w:w="3419" w:type="dxa"/>
            <w:noWrap w:val="0"/>
            <w:vAlign w:val="center"/>
          </w:tcPr>
          <w:p w14:paraId="6F8D5989">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持有保安证。</w:t>
            </w:r>
          </w:p>
        </w:tc>
      </w:tr>
      <w:tr w14:paraId="0732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39785DE3">
            <w:pPr>
              <w:pageBreakBefore w:val="0"/>
              <w:widowControl/>
              <w:kinsoku/>
              <w:wordWrap/>
              <w:overflowPunct/>
              <w:topLinePunct w:val="0"/>
              <w:bidi w:val="0"/>
              <w:snapToGrid w:val="0"/>
              <w:spacing w:line="300" w:lineRule="auto"/>
              <w:ind w:left="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其他服务</w:t>
            </w:r>
          </w:p>
        </w:tc>
        <w:tc>
          <w:tcPr>
            <w:tcW w:w="1386" w:type="dxa"/>
            <w:noWrap w:val="0"/>
            <w:vAlign w:val="center"/>
          </w:tcPr>
          <w:p w14:paraId="22701923">
            <w:pPr>
              <w:pageBreakBefore w:val="0"/>
              <w:widowControl/>
              <w:kinsoku/>
              <w:wordWrap/>
              <w:overflowPunct/>
              <w:topLinePunct w:val="0"/>
              <w:bidi w:val="0"/>
              <w:snapToGrid w:val="0"/>
              <w:spacing w:line="300" w:lineRule="auto"/>
              <w:ind w:left="0" w:leftChars="0"/>
              <w:jc w:val="both"/>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sz w:val="28"/>
                <w:szCs w:val="28"/>
                <w:highlight w:val="none"/>
                <w:lang w:val="en-US" w:eastAsia="zh-CN"/>
              </w:rPr>
              <w:t>洗护工</w:t>
            </w:r>
          </w:p>
        </w:tc>
        <w:tc>
          <w:tcPr>
            <w:tcW w:w="1493" w:type="dxa"/>
            <w:noWrap w:val="0"/>
            <w:vAlign w:val="center"/>
          </w:tcPr>
          <w:p w14:paraId="2FA48FF0">
            <w:pPr>
              <w:pageBreakBefore w:val="0"/>
              <w:widowControl/>
              <w:kinsoku/>
              <w:wordWrap/>
              <w:overflowPunct/>
              <w:topLinePunct w:val="0"/>
              <w:bidi w:val="0"/>
              <w:snapToGrid w:val="0"/>
              <w:spacing w:line="300" w:lineRule="auto"/>
              <w:ind w:left="0" w:leftChars="0"/>
              <w:jc w:val="center"/>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1</w:t>
            </w:r>
          </w:p>
        </w:tc>
        <w:tc>
          <w:tcPr>
            <w:tcW w:w="2109" w:type="dxa"/>
            <w:noWrap w:val="0"/>
            <w:vAlign w:val="center"/>
          </w:tcPr>
          <w:p w14:paraId="1D4AC836">
            <w:pPr>
              <w:pageBreakBefore w:val="0"/>
              <w:widowControl/>
              <w:kinsoku/>
              <w:wordWrap/>
              <w:overflowPunct/>
              <w:topLinePunct w:val="0"/>
              <w:bidi w:val="0"/>
              <w:snapToGrid w:val="0"/>
              <w:spacing w:line="300" w:lineRule="auto"/>
              <w:ind w:left="0" w:leftChars="0"/>
              <w:jc w:val="center"/>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1</w:t>
            </w:r>
          </w:p>
        </w:tc>
        <w:tc>
          <w:tcPr>
            <w:tcW w:w="3419" w:type="dxa"/>
            <w:noWrap w:val="0"/>
            <w:vAlign w:val="center"/>
          </w:tcPr>
          <w:p w14:paraId="7FD91EE1">
            <w:pPr>
              <w:pageBreakBefore w:val="0"/>
              <w:widowControl/>
              <w:kinsoku/>
              <w:wordWrap/>
              <w:overflowPunct/>
              <w:topLinePunct w:val="0"/>
              <w:bidi w:val="0"/>
              <w:snapToGrid w:val="0"/>
              <w:spacing w:line="300" w:lineRule="auto"/>
              <w:ind w:left="0" w:leftChars="0"/>
              <w:jc w:val="both"/>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sz w:val="28"/>
                <w:szCs w:val="28"/>
                <w:highlight w:val="none"/>
                <w:lang w:val="en-US" w:eastAsia="zh-CN"/>
              </w:rPr>
              <w:t>熟练掌握业务技能</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工作时间为采购人行政办公时间。</w:t>
            </w:r>
          </w:p>
        </w:tc>
      </w:tr>
    </w:tbl>
    <w:p w14:paraId="5F15A7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color w:val="auto"/>
          <w:sz w:val="28"/>
          <w:szCs w:val="28"/>
          <w:highlight w:val="none"/>
          <w:u w:val="none"/>
          <w:lang w:val="en-US" w:eastAsia="zh-CN"/>
        </w:rPr>
        <w:t>注：</w:t>
      </w:r>
      <w:r>
        <w:rPr>
          <w:rFonts w:hint="eastAsia" w:ascii="仿宋" w:hAnsi="仿宋" w:eastAsia="仿宋" w:cs="仿宋"/>
          <w:b w:val="0"/>
          <w:bCs/>
          <w:color w:val="auto"/>
          <w:sz w:val="28"/>
          <w:szCs w:val="28"/>
          <w:highlight w:val="none"/>
          <w:u w:val="none"/>
          <w:lang w:val="en-US" w:eastAsia="zh-CN"/>
        </w:rPr>
        <w:t>供应商</w:t>
      </w:r>
      <w:r>
        <w:rPr>
          <w:rFonts w:hint="eastAsia" w:ascii="仿宋" w:hAnsi="仿宋" w:eastAsia="仿宋" w:cs="仿宋"/>
          <w:b w:val="0"/>
          <w:bCs/>
          <w:color w:val="auto"/>
          <w:sz w:val="28"/>
          <w:szCs w:val="28"/>
          <w:highlight w:val="none"/>
          <w:u w:val="none"/>
        </w:rPr>
        <w:t>应</w:t>
      </w:r>
      <w:r>
        <w:rPr>
          <w:rFonts w:hint="eastAsia" w:ascii="仿宋" w:hAnsi="仿宋" w:eastAsia="仿宋" w:cs="仿宋"/>
          <w:b w:val="0"/>
          <w:bCs/>
          <w:color w:val="auto"/>
          <w:sz w:val="28"/>
          <w:szCs w:val="28"/>
          <w:highlight w:val="none"/>
          <w:u w:val="none"/>
          <w:lang w:eastAsia="zh-CN"/>
        </w:rPr>
        <w:t>当按国家相关法律法规，合理确定服务人员工资标准、</w:t>
      </w:r>
      <w:r>
        <w:rPr>
          <w:rFonts w:hint="eastAsia" w:ascii="仿宋" w:hAnsi="仿宋" w:eastAsia="仿宋" w:cs="仿宋"/>
          <w:b w:val="0"/>
          <w:bCs/>
          <w:color w:val="auto"/>
          <w:sz w:val="28"/>
          <w:szCs w:val="28"/>
          <w:highlight w:val="none"/>
          <w:u w:val="none"/>
        </w:rPr>
        <w:t>工作时间</w:t>
      </w:r>
      <w:r>
        <w:rPr>
          <w:rFonts w:hint="eastAsia" w:ascii="仿宋" w:hAnsi="仿宋" w:eastAsia="仿宋" w:cs="仿宋"/>
          <w:b w:val="0"/>
          <w:bCs/>
          <w:color w:val="auto"/>
          <w:sz w:val="28"/>
          <w:szCs w:val="28"/>
          <w:highlight w:val="none"/>
          <w:u w:val="none"/>
          <w:lang w:eastAsia="zh-CN"/>
        </w:rPr>
        <w:t>等</w:t>
      </w:r>
      <w:r>
        <w:rPr>
          <w:rFonts w:hint="eastAsia" w:ascii="仿宋" w:hAnsi="仿宋" w:eastAsia="仿宋" w:cs="仿宋"/>
          <w:b w:val="0"/>
          <w:bCs/>
          <w:color w:val="auto"/>
          <w:sz w:val="28"/>
          <w:szCs w:val="28"/>
          <w:highlight w:val="none"/>
          <w:u w:val="none"/>
        </w:rPr>
        <w:t>。</w:t>
      </w:r>
    </w:p>
    <w:p w14:paraId="6EB523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b w:val="0"/>
          <w:bCs/>
          <w:color w:val="auto"/>
          <w:sz w:val="28"/>
          <w:szCs w:val="28"/>
          <w:highlight w:val="none"/>
          <w:u w:val="none"/>
          <w:lang w:val="en-US" w:eastAsia="zh-CN"/>
        </w:rPr>
        <w:t>供应商</w:t>
      </w:r>
      <w:r>
        <w:rPr>
          <w:rFonts w:hint="eastAsia" w:ascii="仿宋" w:hAnsi="仿宋" w:eastAsia="仿宋" w:cs="仿宋"/>
          <w:bCs/>
          <w:i w:val="0"/>
          <w:iCs w:val="0"/>
          <w:color w:val="auto"/>
          <w:kern w:val="0"/>
          <w:sz w:val="28"/>
          <w:szCs w:val="28"/>
          <w:highlight w:val="none"/>
          <w:u w:val="none"/>
          <w:lang w:val="en-US" w:eastAsia="zh-CN" w:bidi="ar"/>
        </w:rPr>
        <w:t>应当自行为服务人员办理必需的保险</w:t>
      </w:r>
      <w:r>
        <w:rPr>
          <w:rFonts w:hint="eastAsia" w:ascii="仿宋" w:hAnsi="仿宋" w:eastAsia="仿宋" w:cs="仿宋"/>
          <w:b w:val="0"/>
          <w:bCs/>
          <w:color w:val="auto"/>
          <w:sz w:val="28"/>
          <w:szCs w:val="28"/>
          <w:highlight w:val="none"/>
          <w:u w:val="none"/>
        </w:rPr>
        <w:t>，有关人员伤亡及第三者责任险均</w:t>
      </w:r>
      <w:r>
        <w:rPr>
          <w:rFonts w:hint="eastAsia" w:ascii="仿宋" w:hAnsi="仿宋" w:eastAsia="仿宋" w:cs="仿宋"/>
          <w:b w:val="0"/>
          <w:bCs/>
          <w:color w:val="auto"/>
          <w:sz w:val="28"/>
          <w:szCs w:val="28"/>
          <w:highlight w:val="none"/>
          <w:u w:val="none"/>
          <w:lang w:val="en-US" w:eastAsia="zh-CN"/>
        </w:rPr>
        <w:t>应当</w:t>
      </w:r>
      <w:r>
        <w:rPr>
          <w:rFonts w:hint="eastAsia" w:ascii="仿宋" w:hAnsi="仿宋" w:eastAsia="仿宋" w:cs="仿宋"/>
          <w:b w:val="0"/>
          <w:bCs/>
          <w:color w:val="auto"/>
          <w:sz w:val="28"/>
          <w:szCs w:val="28"/>
          <w:highlight w:val="none"/>
          <w:u w:val="none"/>
        </w:rPr>
        <w:t>考虑在报价因素中</w:t>
      </w:r>
      <w:r>
        <w:rPr>
          <w:rFonts w:hint="eastAsia" w:ascii="仿宋" w:hAnsi="仿宋" w:eastAsia="仿宋" w:cs="仿宋"/>
          <w:b w:val="0"/>
          <w:bCs/>
          <w:color w:val="auto"/>
          <w:kern w:val="0"/>
          <w:sz w:val="28"/>
          <w:szCs w:val="28"/>
          <w:highlight w:val="none"/>
          <w:u w:val="none"/>
        </w:rPr>
        <w:t>。</w:t>
      </w:r>
      <w:bookmarkEnd w:id="6"/>
      <w:bookmarkEnd w:id="7"/>
      <w:bookmarkEnd w:id="8"/>
      <w:bookmarkStart w:id="9" w:name="_Toc1962"/>
      <w:bookmarkStart w:id="10" w:name="_Toc20385"/>
      <w:bookmarkStart w:id="11" w:name="_Toc21574"/>
    </w:p>
    <w:p w14:paraId="2AEDB173">
      <w:pPr>
        <w:pStyle w:val="2"/>
        <w:bidi w:val="0"/>
        <w:jc w:val="left"/>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5.验收要求</w:t>
      </w:r>
    </w:p>
    <w:bookmarkEnd w:id="9"/>
    <w:bookmarkEnd w:id="10"/>
    <w:bookmarkEnd w:id="11"/>
    <w:p w14:paraId="42716633">
      <w:pPr>
        <w:pStyle w:val="4"/>
        <w:ind w:firstLine="560" w:firstLineChars="20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1.成交供应商必须按服务标准中所规定的工作内容和具体要求来完成采购人所交给的工作，并提交相应的报告。</w:t>
      </w:r>
    </w:p>
    <w:p w14:paraId="090274E6">
      <w:pPr>
        <w:pStyle w:val="4"/>
        <w:ind w:firstLine="560" w:firstLineChars="20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2.成交供应商每次完成工作后，采购人将立即进行验收，若发现成交供应商完成工作的情况不符合合同所规定的要求，采购人有权拒绝进行完工确认，并书面通知成交供应商进行整改，成交供应商应予以接受。</w:t>
      </w:r>
    </w:p>
    <w:p w14:paraId="3D51B330">
      <w:pPr>
        <w:pStyle w:val="4"/>
        <w:ind w:firstLine="560" w:firstLineChars="20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3.成交供应商必须保证服务质量能够完全符合采购人之合理要求, 否则采购人有权向成交供应商发送如下告之单1）通知；2）警告；3）最后警告及扣除相关费用。</w:t>
      </w:r>
    </w:p>
    <w:p w14:paraId="4F371A75">
      <w:pPr>
        <w:pStyle w:val="4"/>
        <w:ind w:firstLine="560" w:firstLineChars="20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4.采购人按照服务标准制定考评表，每季度对成交供应商的整体服务水平进行打分考评。如考核得分≥90 分，为优秀；考核得分为 80 -89 分的，为良好；考核得分为 70 -79 分的，为合格，采购人有权按约定进行警告并予以扣款；如考核得分低于70 分，为不合格，采购人有权单方面解除合约，成交供应商应积极配合。</w:t>
      </w:r>
    </w:p>
    <w:p w14:paraId="4FD022B7">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6.综合要求</w:t>
      </w:r>
    </w:p>
    <w:p w14:paraId="7293E8BB">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 xml:space="preserve">所提供的服务各项指标符合或优于本次采购要求、国家标准、行业标准及规范。 </w:t>
      </w:r>
    </w:p>
    <w:p w14:paraId="05F3A30D">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必须按磋商文件各章节条款的内容和顺序逐项作出实质性应答。无论磋商文件如何表述，磋商小组欢迎</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尽可能用数据响应服务要求。所提供的服务要求与所规定要求的任何偏离都必须逐条列入磋商响应文件中的服务偏离表中，任何不按此要求的磋商响应文件将承担被拒绝接受的风险。成交后，成交供人在合同谈判中的任何偏离都不得超越此偏离表中已被采购人确认的条款。</w:t>
      </w:r>
    </w:p>
    <w:p w14:paraId="2F7C384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3、磋商供应商应为本项目配备一支有能力的服务团队，人员要求应满足磋商文件中规定的各岗位人员最低要求。</w:t>
      </w:r>
    </w:p>
    <w:p w14:paraId="4FFD1D4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4、磋商供应商需在磋商响应文件中提供本项目所需要的物料配备清单，内容包含但不限于：物业工具（设备）和办公设备、工装和劳保消耗品。</w:t>
      </w:r>
    </w:p>
    <w:p w14:paraId="70F81CEA">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5、磋商供应商需在磋商响应文件中制定针对本项目的相关服务文件、应急预案及相关保障措施等。</w:t>
      </w:r>
    </w:p>
    <w:p w14:paraId="6D669D94">
      <w:pPr>
        <w:pStyle w:val="2"/>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7.需要说明的其他事项</w:t>
      </w:r>
    </w:p>
    <w:p w14:paraId="609EC188">
      <w:pPr>
        <w:pStyle w:val="2"/>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7.1零星维修材料费用</w:t>
      </w:r>
    </w:p>
    <w:p w14:paraId="403C4A06">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涉及以下情形</w:t>
      </w:r>
      <w:r>
        <w:rPr>
          <w:rFonts w:hint="eastAsia" w:ascii="仿宋" w:hAnsi="仿宋" w:eastAsia="仿宋" w:cs="仿宋"/>
          <w:b/>
          <w:bCs/>
          <w:color w:val="auto"/>
          <w:kern w:val="0"/>
          <w:sz w:val="28"/>
          <w:szCs w:val="28"/>
          <w:highlight w:val="none"/>
          <w:u w:val="none"/>
          <w:lang w:val="en-US" w:eastAsia="zh-CN"/>
        </w:rPr>
        <w:t>的</w:t>
      </w:r>
      <w:r>
        <w:rPr>
          <w:rFonts w:hint="eastAsia" w:ascii="仿宋" w:hAnsi="仿宋" w:eastAsia="仿宋" w:cs="仿宋"/>
          <w:b w:val="0"/>
          <w:bCs w:val="0"/>
          <w:color w:val="auto"/>
          <w:kern w:val="0"/>
          <w:sz w:val="28"/>
          <w:szCs w:val="28"/>
          <w:highlight w:val="none"/>
          <w:u w:val="none"/>
          <w:lang w:val="en-US" w:eastAsia="zh-CN"/>
        </w:rPr>
        <w:t>，相关费用包含在物业服务采购合同金额之内，由供应商承担：</w:t>
      </w:r>
      <w:r>
        <w:rPr>
          <w:rFonts w:hint="eastAsia" w:ascii="仿宋" w:hAnsi="仿宋" w:eastAsia="仿宋" w:cs="仿宋"/>
          <w:b w:val="0"/>
          <w:bCs w:val="0"/>
          <w:color w:val="auto"/>
          <w:kern w:val="0"/>
          <w:sz w:val="28"/>
          <w:szCs w:val="28"/>
          <w:highlight w:val="none"/>
          <w:u w:val="single"/>
          <w:lang w:val="en-US" w:eastAsia="zh-CN"/>
        </w:rPr>
        <w:t>电池、门锁、窗户把手、锁芯、LED筒灯、LED平板灯、面盆水龙头、开关、插座、三角阀、球阀、止回阀、软连接器、小空开、接触器、玻璃门地弹簧、压力表、温度计、排气阀、感应冲水器、感应蹲便器、热水器加热管、热水器温控器、换气扇、风机皮带、干手器等维修所需材料单件单价在300元以内的费用</w:t>
      </w:r>
      <w:r>
        <w:rPr>
          <w:rFonts w:hint="eastAsia" w:ascii="仿宋" w:hAnsi="仿宋" w:eastAsia="仿宋" w:cs="仿宋"/>
          <w:b w:val="0"/>
          <w:bCs w:val="0"/>
          <w:color w:val="auto"/>
          <w:kern w:val="0"/>
          <w:sz w:val="28"/>
          <w:szCs w:val="28"/>
          <w:highlight w:val="none"/>
          <w:lang w:val="en-US" w:eastAsia="zh-CN"/>
        </w:rPr>
        <w:t>。</w:t>
      </w:r>
    </w:p>
    <w:p w14:paraId="13C2147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u w:val="none"/>
          <w:lang w:eastAsia="zh-CN"/>
        </w:rPr>
        <w:t>，</w:t>
      </w:r>
      <w:r>
        <w:rPr>
          <w:rFonts w:hint="eastAsia" w:ascii="仿宋" w:hAnsi="仿宋" w:eastAsia="仿宋" w:cs="仿宋"/>
          <w:b w:val="0"/>
          <w:bCs w:val="0"/>
          <w:color w:val="auto"/>
          <w:kern w:val="0"/>
          <w:sz w:val="28"/>
          <w:szCs w:val="28"/>
          <w:highlight w:val="none"/>
          <w:lang w:val="en-US" w:eastAsia="zh-CN"/>
        </w:rPr>
        <w:t>由采购人承担：</w:t>
      </w:r>
      <w:r>
        <w:rPr>
          <w:rFonts w:hint="eastAsia" w:ascii="仿宋" w:hAnsi="仿宋" w:eastAsia="仿宋" w:cs="仿宋"/>
          <w:b w:val="0"/>
          <w:bCs w:val="0"/>
          <w:color w:val="auto"/>
          <w:kern w:val="0"/>
          <w:sz w:val="28"/>
          <w:szCs w:val="28"/>
          <w:highlight w:val="none"/>
          <w:u w:val="single"/>
          <w:lang w:val="en-US" w:eastAsia="zh-CN"/>
        </w:rPr>
        <w:t>热水器、饮水机滤芯、宣传电子灯箱、LED显示屏、话筒、音响、功放、门禁、车库卷帘、供水泵、排污泵、热水泵、供暖循环泵、软起动、交流接触器、热继电器、风机电机、风机叶轮、大空开（100A以上）、风机盘管、电动门、道闸系统、卷帘门、监控探头、监控录像机、UPS电源、监控视频显示器、监控云台、钢化玻璃门、液位浮球控制器、主管道水表、空调滤网、滤袋等维修所需材料单件单价在300元（含300元）以上费用</w:t>
      </w:r>
      <w:r>
        <w:rPr>
          <w:rFonts w:hint="eastAsia" w:ascii="仿宋" w:hAnsi="仿宋" w:eastAsia="仿宋" w:cs="仿宋"/>
          <w:b w:val="0"/>
          <w:bCs w:val="0"/>
          <w:color w:val="auto"/>
          <w:kern w:val="0"/>
          <w:sz w:val="28"/>
          <w:szCs w:val="28"/>
          <w:highlight w:val="none"/>
          <w:u w:val="none"/>
          <w:lang w:val="en-US" w:eastAsia="zh-CN"/>
        </w:rPr>
        <w:t>。</w:t>
      </w:r>
    </w:p>
    <w:p w14:paraId="0B4B52E7">
      <w:pPr>
        <w:pStyle w:val="2"/>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7.2低值易耗品费用</w:t>
      </w:r>
    </w:p>
    <w:p w14:paraId="68BED3F7">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lang w:val="en-US" w:eastAsia="zh-CN"/>
        </w:rPr>
        <w:t>，相关费用包含在物业服务采购合同金额之内，由供应商承担：</w:t>
      </w:r>
      <w:r>
        <w:rPr>
          <w:rFonts w:hint="eastAsia" w:ascii="仿宋" w:hAnsi="仿宋" w:eastAsia="仿宋" w:cs="仿宋"/>
          <w:b w:val="0"/>
          <w:bCs w:val="0"/>
          <w:color w:val="auto"/>
          <w:kern w:val="0"/>
          <w:sz w:val="28"/>
          <w:szCs w:val="28"/>
          <w:highlight w:val="none"/>
          <w:u w:val="single"/>
          <w:lang w:val="en-US" w:eastAsia="zh-CN"/>
        </w:rPr>
        <w:t>中性笔、记号笔、订书机、A4纸、墨粉、硒鼓、双面胶、玻璃胶、印泥、档案袋、档案盒、胶水、玻璃胶、标签纸、保洁服、保洁鞋、保安服等低值易耗品</w:t>
      </w:r>
      <w:r>
        <w:rPr>
          <w:rFonts w:hint="eastAsia" w:ascii="仿宋" w:hAnsi="仿宋" w:eastAsia="仿宋" w:cs="仿宋"/>
          <w:b w:val="0"/>
          <w:bCs w:val="0"/>
          <w:color w:val="auto"/>
          <w:kern w:val="0"/>
          <w:sz w:val="28"/>
          <w:szCs w:val="28"/>
          <w:highlight w:val="none"/>
          <w:lang w:val="en-US" w:eastAsia="zh-CN"/>
        </w:rPr>
        <w:t>。</w:t>
      </w:r>
    </w:p>
    <w:p w14:paraId="77DBDF1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default"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u w:val="none"/>
          <w:lang w:eastAsia="zh-CN"/>
        </w:rPr>
        <w:t>，</w:t>
      </w:r>
      <w:r>
        <w:rPr>
          <w:rFonts w:hint="eastAsia" w:ascii="仿宋" w:hAnsi="仿宋" w:eastAsia="仿宋" w:cs="仿宋"/>
          <w:b w:val="0"/>
          <w:bCs w:val="0"/>
          <w:color w:val="auto"/>
          <w:kern w:val="0"/>
          <w:sz w:val="28"/>
          <w:szCs w:val="28"/>
          <w:highlight w:val="none"/>
          <w:lang w:val="en-US" w:eastAsia="zh-CN"/>
        </w:rPr>
        <w:t>由采购人承担：</w:t>
      </w:r>
      <w:r>
        <w:rPr>
          <w:rFonts w:hint="eastAsia" w:ascii="仿宋" w:hAnsi="仿宋" w:eastAsia="仿宋" w:cs="仿宋"/>
          <w:b w:val="0"/>
          <w:bCs w:val="0"/>
          <w:color w:val="auto"/>
          <w:kern w:val="0"/>
          <w:sz w:val="28"/>
          <w:szCs w:val="28"/>
          <w:highlight w:val="none"/>
          <w:u w:val="single"/>
          <w:lang w:val="en-US" w:eastAsia="zh-CN"/>
        </w:rPr>
        <w:t>空调滤网、滤袋、插线板、饮水机、打包机、打包绳、书车、U盘、茶叶、茶杯、垃圾清运车、拖把、榨水车、垃圾桶、保洁车、尘推、毛巾、铲刀、钢丝球、垃圾夹、平板拖把、玻璃器、玻璃刮、脸盆、水桶、马桶刷、鹿皮巾、百洁布、鸡毛掸子、洗手液、洗洁精、洗衣粉、空气清新剂、檀香、芳香球、84消毒液、洁厕剂、玻璃清洗剂、水垢清洗剂、瓷砖清洗剂、多功能清洗剂、不锈钢光亮剂、粘胶去除剂、尘推油、口罩、面罩、喷壶、酒精、垃圾袋、防护服、大盘纸、擦手纸、防护橡胶手套、线手套，高粱扫帚，防风套扫，室外大扫把、灯泡、电线、轧带、生料带、胶布、螺丝、膨胀管、电工防水自粘带、水暖垫片、手电、反光贴等。</w:t>
      </w:r>
    </w:p>
    <w:p w14:paraId="7A776A51">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8.实质性条款要求（</w:t>
      </w:r>
      <w:r>
        <w:rPr>
          <w:rFonts w:hint="eastAsia" w:ascii="仿宋" w:hAnsi="仿宋" w:eastAsia="仿宋" w:cs="仿宋"/>
          <w:b/>
          <w:bCs/>
          <w:color w:val="auto"/>
          <w:kern w:val="2"/>
          <w:sz w:val="28"/>
          <w:szCs w:val="28"/>
          <w:highlight w:val="none"/>
          <w:lang w:val="zh-CN" w:eastAsia="zh-CN" w:bidi="ar-SA"/>
        </w:rPr>
        <w:t>加“★”部分为实质性要求，必须满足，</w:t>
      </w:r>
      <w:r>
        <w:rPr>
          <w:rFonts w:hint="eastAsia" w:ascii="仿宋" w:hAnsi="仿宋" w:eastAsia="仿宋" w:cs="仿宋"/>
          <w:b/>
          <w:bCs/>
          <w:color w:val="auto"/>
          <w:kern w:val="2"/>
          <w:sz w:val="28"/>
          <w:szCs w:val="28"/>
          <w:highlight w:val="none"/>
          <w:lang w:val="en-US" w:eastAsia="zh-CN" w:bidi="ar-SA"/>
        </w:rPr>
        <w:t xml:space="preserve">以下条款须提供承诺函，未提供或缺漏项视为无效投标） </w:t>
      </w:r>
    </w:p>
    <w:p w14:paraId="202D5908">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 xml:space="preserve">★（一）磋商供应商须承诺：拟派服务人员完全满足磋商文件人数（26人）要求。 </w:t>
      </w:r>
    </w:p>
    <w:p w14:paraId="6CA58EE3">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★（二）磋商供应商须承诺：项目经理及物业主管不得同时兼任其他项目的管理岗位，且不得随意更换，如需更换须经采购人同意。</w:t>
      </w:r>
    </w:p>
    <w:p w14:paraId="3FAF1608">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★（三）磋商供应商须承诺：拟派保安队长、</w:t>
      </w:r>
      <w:r>
        <w:rPr>
          <w:rFonts w:hint="eastAsia" w:ascii="仿宋" w:hAnsi="仿宋" w:eastAsia="仿宋" w:cs="仿宋"/>
          <w:b/>
          <w:bCs/>
          <w:color w:val="auto"/>
          <w:kern w:val="2"/>
          <w:sz w:val="28"/>
          <w:szCs w:val="28"/>
          <w:highlight w:val="none"/>
          <w:lang w:val="en-US" w:eastAsia="zh-CN" w:bidi="ar-SA"/>
        </w:rPr>
        <w:t>保安人员和秩序维护人员均持有保安员证（共9人），</w:t>
      </w:r>
      <w:r>
        <w:rPr>
          <w:rFonts w:hint="eastAsia" w:ascii="仿宋" w:hAnsi="仿宋" w:eastAsia="仿宋" w:cs="仿宋"/>
          <w:b/>
          <w:bCs/>
          <w:color w:val="auto"/>
          <w:kern w:val="2"/>
          <w:sz w:val="28"/>
          <w:szCs w:val="28"/>
          <w:highlight w:val="none"/>
          <w:lang w:val="en-US" w:eastAsia="zh-CN" w:bidi="ar-SA"/>
        </w:rPr>
        <w:t>成交供应商须出</w:t>
      </w:r>
      <w:bookmarkStart w:id="12" w:name="_GoBack"/>
      <w:bookmarkEnd w:id="12"/>
      <w:r>
        <w:rPr>
          <w:rFonts w:hint="eastAsia" w:ascii="仿宋" w:hAnsi="仿宋" w:eastAsia="仿宋" w:cs="仿宋"/>
          <w:b/>
          <w:bCs/>
          <w:color w:val="auto"/>
          <w:kern w:val="2"/>
          <w:sz w:val="28"/>
          <w:szCs w:val="28"/>
          <w:highlight w:val="none"/>
          <w:lang w:val="en-US" w:eastAsia="zh-CN" w:bidi="ar-SA"/>
        </w:rPr>
        <w:t>具承诺书（承诺书形式不限），自承接本项目之日起30日内向采购人所在地设区的市级人民政府公安机关备案。</w:t>
      </w:r>
    </w:p>
    <w:p w14:paraId="083E4DD8">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 xml:space="preserve">★（四）磋商供应商须承诺：水暖电工（1人）持有特种作业操作证（低压电工作业）、锅炉工（1人）须持证上岗（提供政府相关行业监管部门颁发的有效操作证）。  </w:t>
      </w:r>
    </w:p>
    <w:p w14:paraId="104336A6">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zh-CN" w:eastAsia="zh-CN" w:bidi="ar-SA"/>
        </w:rPr>
      </w:pPr>
      <w:r>
        <w:rPr>
          <w:rFonts w:hint="eastAsia" w:ascii="仿宋" w:hAnsi="仿宋" w:eastAsia="仿宋" w:cs="仿宋"/>
          <w:b/>
          <w:bCs/>
          <w:color w:val="auto"/>
          <w:kern w:val="2"/>
          <w:sz w:val="28"/>
          <w:szCs w:val="28"/>
          <w:highlight w:val="none"/>
          <w:lang w:val="en-US" w:eastAsia="zh-CN" w:bidi="ar-SA"/>
        </w:rPr>
        <w:t xml:space="preserve">★（五）磋商供应商须承诺：拟派所有人员均持有卫生部门颁发的健康证明或体检报告。 </w:t>
      </w:r>
    </w:p>
    <w:p w14:paraId="44FCB084">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 xml:space="preserve">9.服务期限：本项目服务期为一年（从合同签订之日起算）。服务期满后根据上年度服务期间完成甲方所要求服务标准情况，在财政资金保障下，保证服务要求、服务质量不变的情况下可以续签，续签时间不超过两年。如政策规定发生变化，服务企业需相应执行或解除合同。 </w:t>
      </w:r>
    </w:p>
    <w:p w14:paraId="2D77DC08">
      <w:pPr>
        <w:autoSpaceDE w:val="0"/>
        <w:autoSpaceDN w:val="0"/>
        <w:adjustRightInd w:val="0"/>
        <w:spacing w:line="360" w:lineRule="auto"/>
        <w:ind w:firstLine="562" w:firstLineChars="200"/>
        <w:jc w:val="both"/>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10.</w:t>
      </w:r>
      <w:r>
        <w:rPr>
          <w:rFonts w:hint="eastAsia" w:ascii="仿宋" w:hAnsi="仿宋" w:eastAsia="仿宋" w:cs="仿宋"/>
          <w:b/>
          <w:bCs/>
          <w:color w:val="auto"/>
          <w:kern w:val="2"/>
          <w:sz w:val="28"/>
          <w:szCs w:val="28"/>
          <w:highlight w:val="none"/>
          <w:lang w:val="zh-CN" w:eastAsia="zh-CN" w:bidi="ar-SA"/>
        </w:rPr>
        <w:t>付款办法：按</w:t>
      </w:r>
      <w:r>
        <w:rPr>
          <w:rFonts w:hint="eastAsia" w:ascii="仿宋" w:hAnsi="仿宋" w:eastAsia="仿宋" w:cs="仿宋"/>
          <w:b/>
          <w:bCs/>
          <w:color w:val="auto"/>
          <w:kern w:val="2"/>
          <w:sz w:val="28"/>
          <w:szCs w:val="28"/>
          <w:highlight w:val="none"/>
          <w:lang w:val="en-US" w:eastAsia="zh-CN" w:bidi="ar-SA"/>
        </w:rPr>
        <w:t>季度</w:t>
      </w:r>
      <w:r>
        <w:rPr>
          <w:rFonts w:hint="eastAsia" w:ascii="仿宋" w:hAnsi="仿宋" w:eastAsia="仿宋" w:cs="仿宋"/>
          <w:b/>
          <w:bCs/>
          <w:color w:val="auto"/>
          <w:kern w:val="2"/>
          <w:sz w:val="28"/>
          <w:szCs w:val="28"/>
          <w:highlight w:val="none"/>
          <w:lang w:val="zh-CN" w:eastAsia="zh-CN" w:bidi="ar-SA"/>
        </w:rPr>
        <w:t>结算。采购人在次月 10 日内对</w:t>
      </w:r>
      <w:r>
        <w:rPr>
          <w:rFonts w:hint="eastAsia" w:ascii="仿宋" w:hAnsi="仿宋" w:eastAsia="仿宋" w:cs="仿宋"/>
          <w:b/>
          <w:bCs/>
          <w:color w:val="auto"/>
          <w:kern w:val="2"/>
          <w:sz w:val="28"/>
          <w:szCs w:val="28"/>
          <w:highlight w:val="none"/>
          <w:lang w:val="en-US" w:eastAsia="zh-CN" w:bidi="ar-SA"/>
        </w:rPr>
        <w:t>成交供应商</w:t>
      </w:r>
      <w:r>
        <w:rPr>
          <w:rFonts w:hint="eastAsia" w:ascii="仿宋" w:hAnsi="仿宋" w:eastAsia="仿宋" w:cs="仿宋"/>
          <w:b/>
          <w:bCs/>
          <w:color w:val="auto"/>
          <w:kern w:val="2"/>
          <w:sz w:val="28"/>
          <w:szCs w:val="28"/>
          <w:highlight w:val="none"/>
          <w:lang w:val="zh-CN" w:eastAsia="zh-CN" w:bidi="ar-SA"/>
        </w:rPr>
        <w:t>进行考核，采购人收到</w:t>
      </w:r>
      <w:r>
        <w:rPr>
          <w:rFonts w:hint="eastAsia" w:ascii="仿宋" w:hAnsi="仿宋" w:eastAsia="仿宋" w:cs="仿宋"/>
          <w:b/>
          <w:bCs/>
          <w:color w:val="auto"/>
          <w:kern w:val="2"/>
          <w:sz w:val="28"/>
          <w:szCs w:val="28"/>
          <w:highlight w:val="none"/>
          <w:lang w:val="en-US" w:eastAsia="zh-CN" w:bidi="ar-SA"/>
        </w:rPr>
        <w:t>成交供应商</w:t>
      </w:r>
      <w:r>
        <w:rPr>
          <w:rFonts w:hint="eastAsia" w:ascii="仿宋" w:hAnsi="仿宋" w:eastAsia="仿宋" w:cs="仿宋"/>
          <w:b/>
          <w:bCs/>
          <w:color w:val="auto"/>
          <w:kern w:val="2"/>
          <w:sz w:val="28"/>
          <w:szCs w:val="28"/>
          <w:highlight w:val="none"/>
          <w:lang w:val="zh-CN" w:eastAsia="zh-CN" w:bidi="ar-SA"/>
        </w:rPr>
        <w:t>出具的</w:t>
      </w:r>
      <w:r>
        <w:rPr>
          <w:rFonts w:hint="eastAsia" w:ascii="仿宋" w:hAnsi="仿宋" w:eastAsia="仿宋" w:cs="仿宋"/>
          <w:b/>
          <w:bCs/>
          <w:color w:val="auto"/>
          <w:kern w:val="2"/>
          <w:sz w:val="28"/>
          <w:szCs w:val="28"/>
          <w:highlight w:val="none"/>
          <w:lang w:val="en-US" w:eastAsia="zh-CN" w:bidi="ar-SA"/>
        </w:rPr>
        <w:t>正规税票</w:t>
      </w:r>
      <w:r>
        <w:rPr>
          <w:rFonts w:hint="eastAsia" w:ascii="仿宋" w:hAnsi="仿宋" w:eastAsia="仿宋" w:cs="仿宋"/>
          <w:b/>
          <w:bCs/>
          <w:color w:val="auto"/>
          <w:kern w:val="2"/>
          <w:sz w:val="28"/>
          <w:szCs w:val="28"/>
          <w:highlight w:val="none"/>
          <w:lang w:val="zh-CN" w:eastAsia="zh-CN" w:bidi="ar-SA"/>
        </w:rPr>
        <w:t>后 7 日内支付服务费用（具体支付要求由采购人与</w:t>
      </w:r>
      <w:r>
        <w:rPr>
          <w:rFonts w:hint="eastAsia" w:ascii="仿宋" w:hAnsi="仿宋" w:eastAsia="仿宋" w:cs="仿宋"/>
          <w:b/>
          <w:bCs/>
          <w:color w:val="auto"/>
          <w:kern w:val="2"/>
          <w:sz w:val="28"/>
          <w:szCs w:val="28"/>
          <w:highlight w:val="none"/>
          <w:lang w:val="en-US" w:eastAsia="zh-CN" w:bidi="ar-SA"/>
        </w:rPr>
        <w:t>成交供应商</w:t>
      </w:r>
      <w:r>
        <w:rPr>
          <w:rFonts w:hint="eastAsia" w:ascii="仿宋" w:hAnsi="仿宋" w:eastAsia="仿宋" w:cs="仿宋"/>
          <w:b/>
          <w:bCs/>
          <w:color w:val="auto"/>
          <w:kern w:val="2"/>
          <w:sz w:val="28"/>
          <w:szCs w:val="28"/>
          <w:highlight w:val="none"/>
          <w:lang w:val="zh-CN" w:eastAsia="zh-CN" w:bidi="ar-SA"/>
        </w:rPr>
        <w:t>具体商定）。</w:t>
      </w:r>
    </w:p>
    <w:p w14:paraId="4C53CFE6">
      <w:pPr>
        <w:pStyle w:val="4"/>
        <w:ind w:firstLine="560" w:firstLineChars="200"/>
        <w:rPr>
          <w:rFonts w:hint="default" w:ascii="Calibri" w:hAnsi="Calibri" w:eastAsia="宋体" w:cs="Calibri"/>
          <w:color w:val="auto"/>
          <w:szCs w:val="21"/>
          <w:highlight w:val="none"/>
          <w:u w:val="none"/>
          <w:lang w:val="en-US" w:eastAsia="zh-CN"/>
        </w:rPr>
      </w:pPr>
    </w:p>
    <w:p w14:paraId="2FC4344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DD1B5"/>
    <w:multiLevelType w:val="singleLevel"/>
    <w:tmpl w:val="DCADD1B5"/>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iMTQxZjEyYzFlMjYyZDNiMzRiZjQ2OTI4MmVlZTUifQ=="/>
  </w:docVars>
  <w:rsids>
    <w:rsidRoot w:val="00000000"/>
    <w:rsid w:val="633C4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paragraph" w:styleId="3">
    <w:name w:val="heading 3"/>
    <w:basedOn w:val="1"/>
    <w:next w:val="1"/>
    <w:qFormat/>
    <w:uiPriority w:val="9"/>
    <w:pPr>
      <w:keepNext/>
      <w:keepLines/>
      <w:spacing w:line="400" w:lineRule="atLeast"/>
      <w:jc w:val="center"/>
      <w:outlineLvl w:val="2"/>
    </w:pPr>
    <w:rPr>
      <w:b/>
      <w:bCs/>
      <w:sz w:val="32"/>
      <w:szCs w:val="32"/>
      <w:u w:val="double"/>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2026-06-11T01:33:35Z</dcterms:created>
  <dc:creator>13666</dc:creator>
  <cp:lastModifiedBy>13666</cp:lastModifiedBy>
  <dcterms:modified xsi:type="dcterms:W3CDTF">2026-06-11T01:34:22Z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D33CD7F0EB6540069696969D6163AC6A_12</vt:lpwstr>
  </property>
</Properties>
</file>