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版本号：SXDY-2026-25920260727001</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2026年陕西省第十八届运动会火炬传递活动（华阴站）</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SXDY-2026-259</w:t>
      </w:r>
      <w:r>
        <w:br/>
      </w:r>
      <w:r>
        <w:br/>
      </w:r>
      <w:r>
        <w:br/>
      </w:r>
    </w:p>
    <w:p>
      <w:pPr>
        <w:pStyle w:val="null3"/>
        <w:jc w:val="center"/>
        <w:outlineLvl w:val="2"/>
      </w:pPr>
      <w:r>
        <w:rPr>
          <w:rFonts w:ascii="仿宋_GB2312" w:hAnsi="仿宋_GB2312" w:cs="仿宋_GB2312" w:eastAsia="仿宋_GB2312"/>
          <w:sz w:val="28"/>
          <w:b/>
        </w:rPr>
        <w:t>华阴市教育体育局</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华阴市教育体育局</w:t>
      </w:r>
      <w:r>
        <w:rPr>
          <w:rFonts w:ascii="仿宋_GB2312" w:hAnsi="仿宋_GB2312" w:cs="仿宋_GB2312" w:eastAsia="仿宋_GB2312"/>
        </w:rPr>
        <w:t>委托，拟对</w:t>
      </w:r>
      <w:r>
        <w:rPr>
          <w:rFonts w:ascii="仿宋_GB2312" w:hAnsi="仿宋_GB2312" w:cs="仿宋_GB2312" w:eastAsia="仿宋_GB2312"/>
        </w:rPr>
        <w:t>2026年陕西省第十八届运动会火炬传递活动（华阴站）</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SXDY-2026-259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2026年陕西省第十八届运动会火炬传递活动（华阴站）</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陕西省第十八届运动会2026年火炬传递华阴站火炬传递运行服务，包括但不限于华阴站起跑仪式、传递运行、收火，线路布置、人员组织、车辆保障、安全保卫配合、现场执行、节目展演、媒体协调及物料制作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采购包1（2026年陕西省第十八届运动会火炬传递活动（华阴站））：属于专门面向中小企业采购。</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有独立承担民事责任能力的企业法人或其他组织，提供合格有效的企业法人营业执照副本，税务登记证副本，组织机构代码证副本（或多证合一的统一社会信用代码的营业执照副本）；</w:t>
      </w:r>
    </w:p>
    <w:p>
      <w:pPr>
        <w:pStyle w:val="null3"/>
      </w:pPr>
      <w:r>
        <w:rPr>
          <w:rFonts w:ascii="仿宋_GB2312" w:hAnsi="仿宋_GB2312" w:cs="仿宋_GB2312" w:eastAsia="仿宋_GB2312"/>
        </w:rPr>
        <w:t>2、法定代表人身份证明或法定代表人授权委托书：供应商应授权合法的人员参加采购全过程，法定代表人直接参加的须提交其身份证原件及法定代表人证明书，法定代表人授权代表参加采购的，须出具法定代表人授权书及被授权人身份证；</w:t>
      </w:r>
    </w:p>
    <w:p>
      <w:pPr>
        <w:pStyle w:val="null3"/>
      </w:pPr>
      <w:r>
        <w:rPr>
          <w:rFonts w:ascii="仿宋_GB2312" w:hAnsi="仿宋_GB2312" w:cs="仿宋_GB2312" w:eastAsia="仿宋_GB2312"/>
        </w:rPr>
        <w:t>3、财务状况报告：提供2025年度经审计的财务报告或开标前六个月内其基本账户银行出具的资信证明或财政部门认可的政府采购专业担保机构出具的担保函；</w:t>
      </w:r>
    </w:p>
    <w:p>
      <w:pPr>
        <w:pStyle w:val="null3"/>
      </w:pPr>
      <w:r>
        <w:rPr>
          <w:rFonts w:ascii="仿宋_GB2312" w:hAnsi="仿宋_GB2312" w:cs="仿宋_GB2312" w:eastAsia="仿宋_GB2312"/>
        </w:rPr>
        <w:t>4、履行本合同所必需的设备和专业技术能力的书面声明：提供具有履行合同所必需的设备和专业技术能力的承诺；</w:t>
      </w:r>
    </w:p>
    <w:p>
      <w:pPr>
        <w:pStyle w:val="null3"/>
      </w:pPr>
      <w:r>
        <w:rPr>
          <w:rFonts w:ascii="仿宋_GB2312" w:hAnsi="仿宋_GB2312" w:cs="仿宋_GB2312" w:eastAsia="仿宋_GB2312"/>
        </w:rPr>
        <w:t>5、社会保障资金缴纳证明：提供供应商近一年任意一个月的社会保障资金缴存单据或社保机构开具的社会保险参保缴费情况证明；依法不需要缴纳社会保障资金的应提供相关文件证明；</w:t>
      </w:r>
    </w:p>
    <w:p>
      <w:pPr>
        <w:pStyle w:val="null3"/>
      </w:pPr>
      <w:r>
        <w:rPr>
          <w:rFonts w:ascii="仿宋_GB2312" w:hAnsi="仿宋_GB2312" w:cs="仿宋_GB2312" w:eastAsia="仿宋_GB2312"/>
        </w:rPr>
        <w:t>6、税收缴纳证明：提供供应商近一年已缴纳任意一个月完税凭证 或税务机关开具的完税证明（任意税种）；依法免税的应提供相关文件证明；</w:t>
      </w:r>
    </w:p>
    <w:p>
      <w:pPr>
        <w:pStyle w:val="null3"/>
      </w:pPr>
      <w:r>
        <w:rPr>
          <w:rFonts w:ascii="仿宋_GB2312" w:hAnsi="仿宋_GB2312" w:cs="仿宋_GB2312" w:eastAsia="仿宋_GB2312"/>
        </w:rPr>
        <w:t>7、信誉要求：供应商应在采购截止日前未被列入失信被执行人、重大税收违法案件当事人名单、政府采购严重违法失信行为记录名单（处罚期限届满的除外）（以“信用中国”网站（www.creditchina.gov.cn）信用报告及中国政府采购网（www.ccgp.gov.cn）查询结果为准，提供网站截图并加盖供应商公章；</w:t>
      </w:r>
    </w:p>
    <w:p>
      <w:pPr>
        <w:pStyle w:val="null3"/>
      </w:pPr>
      <w:r>
        <w:rPr>
          <w:rFonts w:ascii="仿宋_GB2312" w:hAnsi="仿宋_GB2312" w:cs="仿宋_GB2312" w:eastAsia="仿宋_GB2312"/>
        </w:rPr>
        <w:t>8、无重大违法记录声明：供应商须出具参加采购活动前三年内，在经营活动中没有重大违法记录声明原件。</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只需校验证书及签章的有效性后，即可按照系统操作要求进行身份信息绑定、权限设置和系统操作；未办理互认的证书及签章的供应商，应当按要求办理互认的证书及签章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（三）供应商应当自行准备适应电子化采购所需的计算机终端、软硬件及网络环境，承担因准备不足产生的不利后果。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ind w:firstLine="480"/>
        <w:jc w:val="left"/>
      </w:pPr>
      <w:r>
        <w:rPr>
          <w:rFonts w:ascii="仿宋_GB2312" w:hAnsi="仿宋_GB2312" w:cs="仿宋_GB2312" w:eastAsia="仿宋_GB2312"/>
        </w:rPr>
        <w:t xml:space="preserve"> 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华阴市教育体育局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陕西省渭南市华阴市东岳路东段（电信大楼东侧约100米）</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何程呈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15760997760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西安市雁塔区西三爻村长丰园小区I区1幢C单元11层1110室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武紫艺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17609244531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何涛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13759656664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产品属于节能产品政府采购品目清单中应强制采购的产品范围，供应商应当按照第七章强制、优先采购产品承诺函格式进行承诺，否则作无效响应处理。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产品属于环境标志产品政府采购品目清单中应优先采购的产品范围，供应商可根据第七章强制、优先采购产品承诺函格式要求承诺提供经认证的节能、环境标志产品。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谈判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应当加盖供应商公章，在谈判小组要求的时间内通过项目电子化交易系统进行提交，否则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开户名称：陕西大用项目管理有限公司</w:t>
            </w:r>
          </w:p>
          <w:p>
            <w:pPr>
              <w:pStyle w:val="null3"/>
            </w:pPr>
            <w:r>
              <w:rPr>
                <w:rFonts w:ascii="仿宋_GB2312" w:hAnsi="仿宋_GB2312" w:cs="仿宋_GB2312" w:eastAsia="仿宋_GB2312"/>
              </w:rPr>
              <w:t>开户银行：陕西秦农农村商业银行股份有限公司长丰园支行</w:t>
            </w:r>
          </w:p>
          <w:p>
            <w:pPr>
              <w:pStyle w:val="null3"/>
            </w:pPr>
            <w:r>
              <w:rPr>
                <w:rFonts w:ascii="仿宋_GB2312" w:hAnsi="仿宋_GB2312" w:cs="仿宋_GB2312" w:eastAsia="仿宋_GB2312"/>
              </w:rPr>
              <w:t>银行账号：2701028301201000033857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代理服务费收费标准：参照国家计委关于《招标代理服务收费管理暂行办法》（计价格[2002]1980号）及国家发展改革委《关于进一步放开建设项目专业服务价格的通知》（发改价格[2015]299号）文件计取。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成交通知书领取</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 xml:space="preserve"> 二、本竞争性谈判文件的最终解释权由</w:t>
      </w:r>
      <w:r>
        <w:rPr>
          <w:rFonts w:ascii="仿宋_GB2312" w:hAnsi="仿宋_GB2312" w:cs="仿宋_GB2312" w:eastAsia="仿宋_GB2312"/>
        </w:rPr>
        <w:t>华阴市教育体育局</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华阴市教育体育局</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华阴市教育体育局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陕西大用项目管理有限公司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pPr>
      <w:r>
        <w:rPr>
          <w:rFonts w:ascii="仿宋_GB2312" w:hAnsi="仿宋_GB2312" w:cs="仿宋_GB2312" w:eastAsia="仿宋_GB2312"/>
        </w:rPr>
        <w:t xml:space="preserve"> 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一、供应商的报价是供应商响应谈判项目要求的全部工作内容的价格体现，包括供应商完成本项目所需的一切费用。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2.4.8响应文件有效期</w:t>
      </w:r>
    </w:p>
    <w:p>
      <w:pPr>
        <w:pStyle w:val="null3"/>
        <w:ind w:firstLine="480"/>
      </w:pPr>
      <w:r>
        <w:rPr>
          <w:rFonts w:ascii="仿宋_GB2312" w:hAnsi="仿宋_GB2312" w:cs="仿宋_GB2312" w:eastAsia="仿宋_GB2312"/>
        </w:rPr>
        <w:t>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满足采购文件、合同约定全部要求，达到采购人使用需求。</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（1）参加采购活动前3年内与供应商存在劳动关系；</w:t>
      </w:r>
    </w:p>
    <w:p>
      <w:pPr>
        <w:pStyle w:val="null3"/>
        <w:ind w:firstLine="480"/>
      </w:pPr>
      <w:r>
        <w:rPr>
          <w:rFonts w:ascii="仿宋_GB2312" w:hAnsi="仿宋_GB2312" w:cs="仿宋_GB2312" w:eastAsia="仿宋_GB2312"/>
        </w:rPr>
        <w:t>（2）参加采购活动前3年内担任供应商的董事、监事；</w:t>
      </w:r>
    </w:p>
    <w:p>
      <w:pPr>
        <w:pStyle w:val="null3"/>
        <w:ind w:firstLine="480"/>
      </w:pPr>
      <w:r>
        <w:rPr>
          <w:rFonts w:ascii="仿宋_GB2312" w:hAnsi="仿宋_GB2312" w:cs="仿宋_GB2312" w:eastAsia="仿宋_GB2312"/>
        </w:rPr>
        <w:t>（3）参加采购活动前3年内是供应商的控股股东或者实际控制人；</w:t>
      </w:r>
    </w:p>
    <w:p>
      <w:pPr>
        <w:pStyle w:val="null3"/>
        <w:ind w:firstLine="480"/>
      </w:pPr>
      <w:r>
        <w:rPr>
          <w:rFonts w:ascii="仿宋_GB2312" w:hAnsi="仿宋_GB2312" w:cs="仿宋_GB2312" w:eastAsia="仿宋_GB2312"/>
        </w:rPr>
        <w:t>（4）与供应商的法定代表人或者负责人有夫妻、直系血亲、三代以内旁系血亲或者近姻亲关系；</w:t>
      </w:r>
    </w:p>
    <w:p>
      <w:pPr>
        <w:pStyle w:val="null3"/>
        <w:ind w:firstLine="480"/>
      </w:pPr>
      <w:r>
        <w:rPr>
          <w:rFonts w:ascii="仿宋_GB2312" w:hAnsi="仿宋_GB2312" w:cs="仿宋_GB2312" w:eastAsia="仿宋_GB2312"/>
        </w:rPr>
        <w:t>（5）与供应商有其他可能影响政府采购活动公平、公正进行的关系。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联系人：武紫艺</w:t>
      </w:r>
    </w:p>
    <w:p>
      <w:pPr>
        <w:pStyle w:val="null3"/>
      </w:pPr>
      <w:r>
        <w:rPr>
          <w:rFonts w:ascii="仿宋_GB2312" w:hAnsi="仿宋_GB2312" w:cs="仿宋_GB2312" w:eastAsia="仿宋_GB2312"/>
        </w:rPr>
        <w:t>联系电话：17609244531</w:t>
      </w:r>
    </w:p>
    <w:p>
      <w:pPr>
        <w:pStyle w:val="null3"/>
      </w:pPr>
      <w:r>
        <w:rPr>
          <w:rFonts w:ascii="仿宋_GB2312" w:hAnsi="仿宋_GB2312" w:cs="仿宋_GB2312" w:eastAsia="仿宋_GB2312"/>
        </w:rPr>
        <w:t>地址：西安市雁塔区西三爻村长丰园小区I区1幢C单元11层1110室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第十八届运动会2026年火炬传递华阴站火炬传递运行服务，包括但不限于华阴站起跑仪式、传递运行、收火，线路布置、人员组织、车辆保障、安全保卫配合、现场执行、节目展演、媒体协调及物料制作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2026年陕西省第十八届运动会火炬传递活动（华阴站）</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标的名称：2026年陕西省第十八届运动会火炬传递活动（华阴站）</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single"/>
                <w:left w:val="single"/>
                <w:bottom w:val="single"/>
                <w:right w:val="single"/>
                <w:insideH w:val="single"/>
                <w:insideV w:val="single"/>
              </w:tblBorders>
            </w:tblPr>
            <w:tblGrid>
              <w:gridCol w:w="160"/>
              <w:gridCol w:w="214"/>
              <w:gridCol w:w="300"/>
              <w:gridCol w:w="721"/>
              <w:gridCol w:w="721"/>
              <w:gridCol w:w="214"/>
              <w:gridCol w:w="214"/>
            </w:tblGrid>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序号</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类别</w:t>
                  </w:r>
                </w:p>
              </w:tc>
              <w:tc>
                <w:tcPr>
                  <w:tcW w:type="dxa" w:w="3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名称</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服务内容</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数量</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4"/>
                      <w:color w:val="000000"/>
                    </w:rPr>
                    <w:t>单位</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活动运营</w:t>
                  </w:r>
                </w:p>
              </w:tc>
              <w:tc>
                <w:tcPr>
                  <w:tcW w:type="dxa" w:w="3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路线</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路线勘察及绘制【包含人员食宿及劳务】</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14"/>
                  <w:vMerge/>
                  <w:tcBorders>
                    <w:top w:val="singl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培训</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火炬手培训会议场地租赁、会议场地氛围布置</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14"/>
                  <w:vMerge/>
                  <w:tcBorders>
                    <w:top w:val="singl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办公场地</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传递活动团队办公场地</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14"/>
                  <w:vMerge/>
                  <w:tcBorders>
                    <w:top w:val="singl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火种存放间</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保存火种（火种灯、火种引燃装置等）</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214"/>
                  <w:vMerge/>
                  <w:tcBorders>
                    <w:top w:val="singl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火炬调试间</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调试火炬</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14"/>
                  <w:vMerge/>
                  <w:tcBorders>
                    <w:top w:val="singl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火种灯保存间</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驻地酒店火种灯保存</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214"/>
                  <w:vMerge/>
                  <w:tcBorders>
                    <w:top w:val="singl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仓库</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物资设备存储（仪式服装、仪式设备、传递装置等存储）</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21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搭建</w:t>
                  </w:r>
                </w:p>
              </w:tc>
              <w:tc>
                <w:tcPr>
                  <w:tcW w:type="dxa" w:w="300"/>
                  <w:vMerge w:val="restart"/>
                  <w:tcBorders>
                    <w:top w:val="non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接待酒店搭建</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道旗（5米氛围道旗）</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non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签到背景5*3m</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non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合影墙5*3m</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non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指示牌【门型展架】</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214"/>
                  <w:vMerge/>
                  <w:tcBorders>
                    <w:top w:val="single" w:color="000000" w:sz="4"/>
                    <w:left w:val="single" w:color="000000" w:sz="4"/>
                    <w:bottom w:val="single" w:color="000000" w:sz="4"/>
                    <w:right w:val="single" w:color="000000" w:sz="4"/>
                  </w:tcBorders>
                </w:tcPr>
                <w:p/>
              </w:tc>
              <w:tc>
                <w:tcPr>
                  <w:tcW w:type="dxa" w:w="300"/>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起跑仪式搭建</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20*6米舞台（含舞台板、地毯、踏步等）</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16*1米舞台前沿挡板（含配重）</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20*5米U1米背景桁架（含雷亚）</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桁架配重水箱</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组</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音响设备（8+4线阵音响、话筒等）</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音响主控台（音频输出、音频调教设备等）</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调音台控制器</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控制电脑</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音响悬挂装置（雷亚架）</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吨</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21</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指示牌，观众引导标识等</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22</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A字板（主K延申仪式现场氛围装置）</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组</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23</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道旗（5米氛围道旗）</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24</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移动卫生间</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25</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大号垃圾桶（含大号垃圾袋）</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只</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26</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异形打卡墙（主K延申仪式现场氛围装置）</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控台帐篷（3*3普通帐篷含桌椅）</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医疗帐篷（3*3普通帐篷含桌椅）</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29</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直播帐篷（3*3普通帐篷含桌椅）</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指挥部棚房（3*3欧式篷房）</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顶</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31</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领导休息区（5*5欧式帐篷含宴会桌椅、门楣、地台、地毯、风扇、布电）</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32</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控台区楣板（主K延展）</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医疗区楣板（主K延展）</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34</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直播室楣板（主K延展）</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35</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指挥部楣板（主K延展）</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36</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3*3帐篷（含宴会桌椅、门楣）</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37</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1米栏（软隔离设备不锈钢及红色抽拉警戒带）</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只</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38</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铁马（道路硬隔离，主路段防护）</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片</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39</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首棒140*2米地毯（加厚阻燃仪式专用地毯）</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280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72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摄影台</w:t>
                  </w:r>
                </w:p>
              </w:tc>
              <w:tc>
                <w:tcPr>
                  <w:tcW w:type="dxa" w:w="7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2米摄影台（整体钢架结构含踏步、地台、护栏、喷绘等）</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41</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none" w:color="000000" w:sz="4"/>
                    <w:right w:val="single" w:color="000000" w:sz="4"/>
                  </w:tcBorders>
                </w:tcPr>
                <w:p/>
              </w:tc>
              <w:tc>
                <w:tcPr>
                  <w:tcW w:type="dxa" w:w="721"/>
                  <w:vMerge/>
                  <w:tcBorders>
                    <w:top w:val="single" w:color="000000" w:sz="4"/>
                    <w:left w:val="single" w:color="000000" w:sz="4"/>
                    <w:bottom w:val="single" w:color="000000" w:sz="4"/>
                    <w:right w:val="single" w:color="000000" w:sz="4"/>
                  </w:tcBorders>
                </w:tcPr>
                <w:p/>
              </w:tc>
              <w:tc>
                <w:tcPr>
                  <w:tcW w:type="dxa" w:w="7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1.2米摄影台（整体钢架结构含踏步、地台、护栏、喷绘等）</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42</w:t>
                  </w:r>
                </w:p>
              </w:tc>
              <w:tc>
                <w:tcPr>
                  <w:tcW w:type="dxa" w:w="214"/>
                  <w:vMerge/>
                  <w:tcBorders>
                    <w:top w:val="single" w:color="000000" w:sz="4"/>
                    <w:left w:val="single" w:color="000000" w:sz="4"/>
                    <w:bottom w:val="single" w:color="000000" w:sz="4"/>
                    <w:right w:val="single" w:color="000000" w:sz="4"/>
                  </w:tcBorders>
                </w:tcPr>
                <w:p/>
              </w:tc>
              <w:tc>
                <w:tcPr>
                  <w:tcW w:type="dxa" w:w="30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收火仪式搭建</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20*6米舞台（含舞台板、地毯、踏步等）</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43</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16*1米舞台前沿挡板（含配重）</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44</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20*5米U1米背景桁架（含雷亚）</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45</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桁架配重水箱</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组</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46</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音响设备（8+4线阵音响、话筒等）</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47</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音响主控台（音频输出、音频调教设备等）</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48</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调音台控制器</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49</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控制电脑</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音响悬挂装置（雷亚架）</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吨</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51</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指示牌，观众引导标识（仪式现场路线导引）</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52</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A字板（主K延申仪式现场氛围装置）</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组</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53</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道旗（5米氛围道旗）</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54</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移动卫生间</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55</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异形打卡墙（主K延申仪式现场氛围装置）</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56</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控台帐篷（3*3普通帐篷含桌椅）</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57</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医疗帐篷（3*3普通帐篷含桌椅）</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58</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直播帐篷（3*3普通帐篷含桌椅）</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59</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指挥部棚房（3*3欧式棚房）</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顶</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领导休息区（5*5欧式帐篷含宴会桌椅、门楣、地台、地毯、风扇、布电）</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61</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控台区楣板（主K延展）</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62</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医疗区楣板（主K延展）</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63</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直播室楣板（主K延展）</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64</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指挥部楣板（主K延展）</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65</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3*3帐篷（含宴会桌椅、门楣）</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66</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末棒70*2米地毯（加厚阻燃仪式专用地毯）</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平方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67</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1米栏（软隔离设备不锈钢及红色抽拉警戒带）</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只</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68</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铁马（道路硬隔离，主路段防护）</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片</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69</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大号垃圾桶（含大号垃圾袋）</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只</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70</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72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摄影台</w:t>
                  </w:r>
                </w:p>
              </w:tc>
              <w:tc>
                <w:tcPr>
                  <w:tcW w:type="dxa" w:w="7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2米摄影台（整体钢架结构含踏步、地台、护栏、喷绘等）</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71</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721"/>
                  <w:vMerge/>
                  <w:tcBorders>
                    <w:top w:val="single" w:color="000000" w:sz="4"/>
                    <w:left w:val="single" w:color="000000" w:sz="4"/>
                    <w:bottom w:val="single" w:color="000000" w:sz="4"/>
                    <w:right w:val="single" w:color="000000" w:sz="4"/>
                  </w:tcBorders>
                </w:tcPr>
                <w:p/>
              </w:tc>
              <w:tc>
                <w:tcPr>
                  <w:tcW w:type="dxa" w:w="7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1.2米摄影台（整体钢架结构含踏步、地台、护栏、喷绘等）</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72</w:t>
                  </w:r>
                </w:p>
              </w:tc>
              <w:tc>
                <w:tcPr>
                  <w:tcW w:type="dxa" w:w="214"/>
                  <w:vMerge/>
                  <w:tcBorders>
                    <w:top w:val="single" w:color="000000" w:sz="4"/>
                    <w:left w:val="single" w:color="000000" w:sz="4"/>
                    <w:bottom w:val="single" w:color="000000" w:sz="4"/>
                    <w:right w:val="single" w:color="000000" w:sz="4"/>
                  </w:tcBorders>
                </w:tcPr>
                <w:p/>
              </w:tc>
              <w:tc>
                <w:tcPr>
                  <w:tcW w:type="dxa" w:w="30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路线沿途搭建</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志愿者手举牌、胸贴（用一备一）</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132</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73</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火炬传递等候区站位贴直径1米（用一备一）</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132</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74</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展演点道旗（5米氛围道旗）</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75</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华山宝莲灯转盘广场重点传递路线区道旗（5米）</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76</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指示牌（现场路线导引）</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77</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软隔离警戒带</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卷</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78</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手摇旗（国旗、会徽）</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79</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横幅（口号、主题展示氛围）</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80</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医疗帐篷【3*3普通帐篷（含桌椅）】</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81</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移动卫生间</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82</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铁马（道路硬隔离，主路段防护）</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片</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83</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锥桶</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84</w:t>
                  </w:r>
                </w:p>
              </w:tc>
              <w:tc>
                <w:tcPr>
                  <w:tcW w:type="dxa" w:w="21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应急装备</w:t>
                  </w:r>
                </w:p>
              </w:tc>
              <w:tc>
                <w:tcPr>
                  <w:tcW w:type="dxa" w:w="300"/>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消防装备</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灭火器（手提式灭火器、干粉灭火器）</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85</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车载灭火器</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86</w:t>
                  </w:r>
                </w:p>
              </w:tc>
              <w:tc>
                <w:tcPr>
                  <w:tcW w:type="dxa" w:w="214"/>
                  <w:vMerge/>
                  <w:tcBorders>
                    <w:top w:val="single" w:color="000000" w:sz="4"/>
                    <w:left w:val="single" w:color="000000" w:sz="4"/>
                    <w:bottom w:val="single" w:color="000000" w:sz="4"/>
                    <w:right w:val="single" w:color="000000" w:sz="4"/>
                  </w:tcBorders>
                </w:tcPr>
                <w:p/>
              </w:tc>
              <w:tc>
                <w:tcPr>
                  <w:tcW w:type="dxa" w:w="300"/>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灭火毯</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条</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87</w:t>
                  </w:r>
                </w:p>
              </w:tc>
              <w:tc>
                <w:tcPr>
                  <w:tcW w:type="dxa" w:w="214"/>
                  <w:vMerge/>
                  <w:tcBorders>
                    <w:top w:val="single" w:color="000000" w:sz="4"/>
                    <w:left w:val="single" w:color="000000" w:sz="4"/>
                    <w:bottom w:val="single" w:color="000000" w:sz="4"/>
                    <w:right w:val="single" w:color="000000" w:sz="4"/>
                  </w:tcBorders>
                </w:tcPr>
                <w:p/>
              </w:tc>
              <w:tc>
                <w:tcPr>
                  <w:tcW w:type="dxa" w:w="3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医疗装备</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医疗箱（含各类应急药品）</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88</w:t>
                  </w:r>
                </w:p>
              </w:tc>
              <w:tc>
                <w:tcPr>
                  <w:tcW w:type="dxa" w:w="214"/>
                  <w:vMerge/>
                  <w:tcBorders>
                    <w:top w:val="single" w:color="000000" w:sz="4"/>
                    <w:left w:val="single" w:color="000000" w:sz="4"/>
                    <w:bottom w:val="single" w:color="000000" w:sz="4"/>
                    <w:right w:val="single" w:color="000000" w:sz="4"/>
                  </w:tcBorders>
                </w:tcPr>
                <w:p/>
              </w:tc>
              <w:tc>
                <w:tcPr>
                  <w:tcW w:type="dxa" w:w="3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通讯装备</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对讲机</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部</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89</w:t>
                  </w:r>
                </w:p>
              </w:tc>
              <w:tc>
                <w:tcPr>
                  <w:tcW w:type="dxa" w:w="514"/>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媒体宣传</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固定机位摄影</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90</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移动机位摄影</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91</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图片直播系统搭建</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92</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固定机位摄像师</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93</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移动机位摄影</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94</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航拍</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95</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视频及照片修剪</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96</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宣传片制作</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97</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KOL</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98</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动态报道（新华社、人民网、中国新闻社、陕西日报、陕西广电融媒体集团（台）、</w:t>
                  </w:r>
                  <w:r>
                    <w:rPr>
                      <w:rFonts w:ascii="仿宋_GB2312" w:hAnsi="仿宋_GB2312" w:cs="仿宋_GB2312" w:eastAsia="仿宋_GB2312"/>
                      <w:sz w:val="22"/>
                      <w:color w:val="000000"/>
                    </w:rPr>
                    <w:t>渭南市</w:t>
                  </w:r>
                  <w:r>
                    <w:rPr>
                      <w:rFonts w:ascii="仿宋_GB2312" w:hAnsi="仿宋_GB2312" w:cs="仿宋_GB2312" w:eastAsia="仿宋_GB2312"/>
                      <w:sz w:val="22"/>
                      <w:color w:val="000000"/>
                    </w:rPr>
                    <w:t>广播电视台等中省市主流媒体）</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家</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99</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网络直播（含摇臂、固定机位、直播平台等）</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514"/>
                  <w:gridSpan w:val="2"/>
                  <w:vMerge w:val="restart"/>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劳务</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工作人员</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101</w:t>
                  </w:r>
                </w:p>
              </w:tc>
              <w:tc>
                <w:tcPr>
                  <w:tcW w:type="dxa" w:w="514"/>
                  <w:gridSpan w:val="2"/>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主持人</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102</w:t>
                  </w:r>
                </w:p>
              </w:tc>
              <w:tc>
                <w:tcPr>
                  <w:tcW w:type="dxa" w:w="514"/>
                  <w:gridSpan w:val="2"/>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培训人员</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103</w:t>
                  </w:r>
                </w:p>
              </w:tc>
              <w:tc>
                <w:tcPr>
                  <w:tcW w:type="dxa" w:w="514"/>
                  <w:gridSpan w:val="2"/>
                  <w:vMerge/>
                  <w:tcBorders>
                    <w:top w:val="single" w:color="000000" w:sz="4"/>
                    <w:left w:val="single" w:color="000000" w:sz="4"/>
                    <w:bottom w:val="non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礼仪</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104</w:t>
                  </w:r>
                </w:p>
              </w:tc>
              <w:tc>
                <w:tcPr>
                  <w:tcW w:type="dxa" w:w="514"/>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食宿</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领导嘉宾</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105</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固定机位摄影</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106</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移动机位摄影</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107</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固定机位摄像师</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108</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移动机位摄影</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109</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KOL</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110</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航拍</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111</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工作人员</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112</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火炬手</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65</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113</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培训人员</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114</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主持人和礼仪</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115</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志愿者【工作餐及住宿】</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115</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116</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其他保障人员（医疗、消防、公安、护跑手等）【工作餐】（活动日早餐包）</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117</w:t>
                  </w:r>
                </w:p>
              </w:tc>
              <w:tc>
                <w:tcPr>
                  <w:tcW w:type="dxa" w:w="514"/>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车辆保障</w:t>
                  </w:r>
                </w:p>
              </w:tc>
              <w:tc>
                <w:tcPr>
                  <w:tcW w:type="dxa" w:w="721"/>
                  <w:tcBorders>
                    <w:top w:val="single" w:color="000000" w:sz="4"/>
                    <w:left w:val="single" w:color="000000" w:sz="4"/>
                    <w:bottom w:val="non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路程接驳</w:t>
                  </w:r>
                </w:p>
              </w:tc>
              <w:tc>
                <w:tcPr>
                  <w:tcW w:type="dxa" w:w="7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志愿者接驳大巴55座（大荔站至现场）</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辆</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118</w:t>
                  </w:r>
                </w:p>
              </w:tc>
              <w:tc>
                <w:tcPr>
                  <w:tcW w:type="dxa" w:w="514"/>
                  <w:gridSpan w:val="2"/>
                  <w:vMerge/>
                  <w:tcBorders>
                    <w:top w:val="single" w:color="000000" w:sz="4"/>
                    <w:left w:val="single" w:color="000000" w:sz="4"/>
                    <w:bottom w:val="single" w:color="000000" w:sz="4"/>
                    <w:right w:val="single" w:color="000000" w:sz="4"/>
                  </w:tcBorders>
                </w:tcPr>
                <w:p/>
              </w:tc>
              <w:tc>
                <w:tcPr>
                  <w:tcW w:type="dxa" w:w="72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彩排日用车</w:t>
                  </w:r>
                </w:p>
              </w:tc>
              <w:tc>
                <w:tcPr>
                  <w:tcW w:type="dxa" w:w="7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火炬手及志愿者彩排接驳大巴55座（183人）</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辆</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119</w:t>
                  </w:r>
                </w:p>
              </w:tc>
              <w:tc>
                <w:tcPr>
                  <w:tcW w:type="dxa" w:w="514"/>
                  <w:gridSpan w:val="2"/>
                  <w:vMerge/>
                  <w:tcBorders>
                    <w:top w:val="single" w:color="000000" w:sz="4"/>
                    <w:left w:val="single" w:color="000000" w:sz="4"/>
                    <w:bottom w:val="single" w:color="000000" w:sz="4"/>
                    <w:right w:val="single" w:color="000000" w:sz="4"/>
                  </w:tcBorders>
                </w:tcPr>
                <w:p/>
              </w:tc>
              <w:tc>
                <w:tcPr>
                  <w:tcW w:type="dxa" w:w="721"/>
                  <w:vMerge/>
                  <w:tcBorders>
                    <w:top w:val="single" w:color="000000" w:sz="4"/>
                    <w:left w:val="single" w:color="000000" w:sz="4"/>
                    <w:bottom w:val="single" w:color="000000" w:sz="4"/>
                    <w:right w:val="single" w:color="000000" w:sz="4"/>
                  </w:tcBorders>
                </w:tcPr>
                <w:p/>
              </w:tc>
              <w:tc>
                <w:tcPr>
                  <w:tcW w:type="dxa" w:w="7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移动总指挥中巴20座（现场移动指挥部）</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辆</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120</w:t>
                  </w:r>
                </w:p>
              </w:tc>
              <w:tc>
                <w:tcPr>
                  <w:tcW w:type="dxa" w:w="514"/>
                  <w:gridSpan w:val="2"/>
                  <w:vMerge/>
                  <w:tcBorders>
                    <w:top w:val="single" w:color="000000" w:sz="4"/>
                    <w:left w:val="single" w:color="000000" w:sz="4"/>
                    <w:bottom w:val="single" w:color="000000" w:sz="4"/>
                    <w:right w:val="single" w:color="000000" w:sz="4"/>
                  </w:tcBorders>
                </w:tcPr>
                <w:p/>
              </w:tc>
              <w:tc>
                <w:tcPr>
                  <w:tcW w:type="dxa" w:w="721"/>
                  <w:vMerge/>
                  <w:tcBorders>
                    <w:top w:val="single" w:color="000000" w:sz="4"/>
                    <w:left w:val="single" w:color="000000" w:sz="4"/>
                    <w:bottom w:val="single" w:color="000000" w:sz="4"/>
                    <w:right w:val="single" w:color="000000" w:sz="4"/>
                  </w:tcBorders>
                </w:tcPr>
                <w:p/>
              </w:tc>
              <w:tc>
                <w:tcPr>
                  <w:tcW w:type="dxa" w:w="7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领导接驳中巴20座（领导及各部室人员）</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辆</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121</w:t>
                  </w:r>
                </w:p>
              </w:tc>
              <w:tc>
                <w:tcPr>
                  <w:tcW w:type="dxa" w:w="514"/>
                  <w:gridSpan w:val="2"/>
                  <w:vMerge/>
                  <w:tcBorders>
                    <w:top w:val="single" w:color="000000" w:sz="4"/>
                    <w:left w:val="single" w:color="000000" w:sz="4"/>
                    <w:bottom w:val="single" w:color="000000" w:sz="4"/>
                    <w:right w:val="single" w:color="000000" w:sz="4"/>
                  </w:tcBorders>
                </w:tcPr>
                <w:p/>
              </w:tc>
              <w:tc>
                <w:tcPr>
                  <w:tcW w:type="dxa" w:w="72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仪式日用车</w:t>
                  </w:r>
                </w:p>
              </w:tc>
              <w:tc>
                <w:tcPr>
                  <w:tcW w:type="dxa" w:w="7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火炬手及志愿者活动接驳大巴55座（183人）</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辆</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122</w:t>
                  </w:r>
                </w:p>
              </w:tc>
              <w:tc>
                <w:tcPr>
                  <w:tcW w:type="dxa" w:w="514"/>
                  <w:gridSpan w:val="2"/>
                  <w:vMerge/>
                  <w:tcBorders>
                    <w:top w:val="single" w:color="000000" w:sz="4"/>
                    <w:left w:val="single" w:color="000000" w:sz="4"/>
                    <w:bottom w:val="single" w:color="000000" w:sz="4"/>
                    <w:right w:val="single" w:color="000000" w:sz="4"/>
                  </w:tcBorders>
                </w:tcPr>
                <w:p/>
              </w:tc>
              <w:tc>
                <w:tcPr>
                  <w:tcW w:type="dxa" w:w="721"/>
                  <w:vMerge/>
                  <w:tcBorders>
                    <w:top w:val="single" w:color="000000" w:sz="4"/>
                    <w:left w:val="single" w:color="000000" w:sz="4"/>
                    <w:bottom w:val="single" w:color="000000" w:sz="4"/>
                    <w:right w:val="single" w:color="000000" w:sz="4"/>
                  </w:tcBorders>
                </w:tcPr>
                <w:p/>
              </w:tc>
              <w:tc>
                <w:tcPr>
                  <w:tcW w:type="dxa" w:w="7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移动总指挥中巴20座（现场移动指挥部）</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辆</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123</w:t>
                  </w:r>
                </w:p>
              </w:tc>
              <w:tc>
                <w:tcPr>
                  <w:tcW w:type="dxa" w:w="514"/>
                  <w:gridSpan w:val="2"/>
                  <w:vMerge/>
                  <w:tcBorders>
                    <w:top w:val="single" w:color="000000" w:sz="4"/>
                    <w:left w:val="single" w:color="000000" w:sz="4"/>
                    <w:bottom w:val="single" w:color="000000" w:sz="4"/>
                    <w:right w:val="single" w:color="000000" w:sz="4"/>
                  </w:tcBorders>
                </w:tcPr>
                <w:p/>
              </w:tc>
              <w:tc>
                <w:tcPr>
                  <w:tcW w:type="dxa" w:w="721"/>
                  <w:vMerge/>
                  <w:tcBorders>
                    <w:top w:val="single" w:color="000000" w:sz="4"/>
                    <w:left w:val="single" w:color="000000" w:sz="4"/>
                    <w:bottom w:val="single" w:color="000000" w:sz="4"/>
                    <w:right w:val="single" w:color="000000" w:sz="4"/>
                  </w:tcBorders>
                </w:tcPr>
                <w:p/>
              </w:tc>
              <w:tc>
                <w:tcPr>
                  <w:tcW w:type="dxa" w:w="7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领导接驳中巴20座（领导及各部室人员）</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辆</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124</w:t>
                  </w:r>
                </w:p>
              </w:tc>
              <w:tc>
                <w:tcPr>
                  <w:tcW w:type="dxa" w:w="514"/>
                  <w:gridSpan w:val="2"/>
                  <w:vMerge/>
                  <w:tcBorders>
                    <w:top w:val="single" w:color="000000" w:sz="4"/>
                    <w:left w:val="single" w:color="000000" w:sz="4"/>
                    <w:bottom w:val="single" w:color="000000" w:sz="4"/>
                    <w:right w:val="single" w:color="000000" w:sz="4"/>
                  </w:tcBorders>
                </w:tcPr>
                <w:p/>
              </w:tc>
              <w:tc>
                <w:tcPr>
                  <w:tcW w:type="dxa" w:w="721"/>
                  <w:vMerge/>
                  <w:tcBorders>
                    <w:top w:val="single" w:color="000000" w:sz="4"/>
                    <w:left w:val="single" w:color="000000" w:sz="4"/>
                    <w:bottom w:val="single" w:color="000000" w:sz="4"/>
                    <w:right w:val="single" w:color="000000" w:sz="4"/>
                  </w:tcBorders>
                </w:tcPr>
                <w:p/>
              </w:tc>
              <w:tc>
                <w:tcPr>
                  <w:tcW w:type="dxa" w:w="7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箱货物料收容车（火炬、帐篷、指引牌等）</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辆</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125</w:t>
                  </w:r>
                </w:p>
              </w:tc>
              <w:tc>
                <w:tcPr>
                  <w:tcW w:type="dxa" w:w="514"/>
                  <w:gridSpan w:val="2"/>
                  <w:vMerge/>
                  <w:tcBorders>
                    <w:top w:val="single" w:color="000000" w:sz="4"/>
                    <w:left w:val="single" w:color="000000" w:sz="4"/>
                    <w:bottom w:val="single" w:color="000000" w:sz="4"/>
                    <w:right w:val="single" w:color="000000" w:sz="4"/>
                  </w:tcBorders>
                </w:tcPr>
                <w:p/>
              </w:tc>
              <w:tc>
                <w:tcPr>
                  <w:tcW w:type="dxa" w:w="7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活动全程用车</w:t>
                  </w:r>
                </w:p>
              </w:tc>
              <w:tc>
                <w:tcPr>
                  <w:tcW w:type="dxa" w:w="7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工作车辆（含车辆装饰、租赁费、燃油费等）</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辆</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126</w:t>
                  </w:r>
                </w:p>
              </w:tc>
              <w:tc>
                <w:tcPr>
                  <w:tcW w:type="dxa" w:w="514"/>
                  <w:gridSpan w:val="2"/>
                  <w:vMerge/>
                  <w:tcBorders>
                    <w:top w:val="single" w:color="000000" w:sz="4"/>
                    <w:left w:val="single" w:color="000000" w:sz="4"/>
                    <w:bottom w:val="single" w:color="000000" w:sz="4"/>
                    <w:right w:val="single" w:color="000000" w:sz="4"/>
                  </w:tcBorders>
                </w:tcPr>
                <w:p/>
              </w:tc>
              <w:tc>
                <w:tcPr>
                  <w:tcW w:type="dxa" w:w="7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车辆布置</w:t>
                  </w:r>
                </w:p>
              </w:tc>
              <w:tc>
                <w:tcPr>
                  <w:tcW w:type="dxa" w:w="7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主题车贴装饰（安装及拆卸）</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127</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救护车</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辆</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128</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安保车【警车】</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辆</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129</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消防车</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辆</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130</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电力保障车</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辆</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131</w:t>
                  </w:r>
                </w:p>
              </w:tc>
              <w:tc>
                <w:tcPr>
                  <w:tcW w:type="dxa" w:w="514"/>
                  <w:gridSpan w:val="2"/>
                  <w:vMerge/>
                  <w:tcBorders>
                    <w:top w:val="single" w:color="000000" w:sz="4"/>
                    <w:left w:val="single" w:color="000000" w:sz="4"/>
                    <w:bottom w:val="single" w:color="000000" w:sz="4"/>
                    <w:right w:val="single" w:color="000000" w:sz="4"/>
                  </w:tcBorders>
                </w:tcP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通讯车辆（移动、联通、电信）</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辆</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132</w:t>
                  </w:r>
                </w:p>
              </w:tc>
              <w:tc>
                <w:tcPr>
                  <w:tcW w:type="dxa" w:w="514"/>
                  <w:gridSpan w:val="2"/>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物资运输</w:t>
                  </w:r>
                </w:p>
              </w:tc>
              <w:tc>
                <w:tcPr>
                  <w:tcW w:type="dxa" w:w="721"/>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物料运输车辆</w:t>
                  </w:r>
                </w:p>
              </w:tc>
              <w:tc>
                <w:tcPr>
                  <w:tcW w:type="dxa" w:w="7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4.2米货车（含进场及人工装卸）</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辆</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133</w:t>
                  </w:r>
                </w:p>
              </w:tc>
              <w:tc>
                <w:tcPr>
                  <w:tcW w:type="dxa" w:w="514"/>
                  <w:gridSpan w:val="2"/>
                  <w:vMerge/>
                  <w:tcBorders>
                    <w:top w:val="single" w:color="000000" w:sz="4"/>
                    <w:left w:val="single" w:color="000000" w:sz="4"/>
                    <w:bottom w:val="single" w:color="000000" w:sz="4"/>
                    <w:right w:val="single" w:color="000000" w:sz="4"/>
                  </w:tcBorders>
                </w:tcPr>
                <w:p/>
              </w:tc>
              <w:tc>
                <w:tcPr>
                  <w:tcW w:type="dxa" w:w="721"/>
                  <w:vMerge/>
                  <w:tcBorders>
                    <w:top w:val="single" w:color="000000" w:sz="4"/>
                    <w:left w:val="single" w:color="000000" w:sz="4"/>
                    <w:bottom w:val="single" w:color="000000" w:sz="4"/>
                    <w:right w:val="single" w:color="000000" w:sz="4"/>
                  </w:tcBorders>
                </w:tcPr>
                <w:p/>
              </w:tc>
              <w:tc>
                <w:tcPr>
                  <w:tcW w:type="dxa" w:w="7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4.2米货车（含进场及人工装卸）</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辆</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134</w:t>
                  </w:r>
                </w:p>
              </w:tc>
              <w:tc>
                <w:tcPr>
                  <w:tcW w:type="dxa" w:w="514"/>
                  <w:gridSpan w:val="2"/>
                  <w:vMerge/>
                  <w:tcBorders>
                    <w:top w:val="single" w:color="000000" w:sz="4"/>
                    <w:left w:val="single" w:color="000000" w:sz="4"/>
                    <w:bottom w:val="single" w:color="000000" w:sz="4"/>
                    <w:right w:val="single" w:color="000000" w:sz="4"/>
                  </w:tcBorders>
                </w:tcPr>
                <w:p/>
              </w:tc>
              <w:tc>
                <w:tcPr>
                  <w:tcW w:type="dxa" w:w="721"/>
                  <w:vMerge/>
                  <w:tcBorders>
                    <w:top w:val="single" w:color="000000" w:sz="4"/>
                    <w:left w:val="single" w:color="000000" w:sz="4"/>
                    <w:bottom w:val="single" w:color="000000" w:sz="4"/>
                    <w:right w:val="single" w:color="000000" w:sz="4"/>
                  </w:tcBorders>
                </w:tcPr>
                <w:p/>
              </w:tc>
              <w:tc>
                <w:tcPr>
                  <w:tcW w:type="dxa" w:w="7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12.8米货车（含撤场及人工装卸）</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辆</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135</w:t>
                  </w:r>
                </w:p>
              </w:tc>
              <w:tc>
                <w:tcPr>
                  <w:tcW w:type="dxa" w:w="514"/>
                  <w:gridSpan w:val="2"/>
                  <w:vMerge/>
                  <w:tcBorders>
                    <w:top w:val="single" w:color="000000" w:sz="4"/>
                    <w:left w:val="single" w:color="000000" w:sz="4"/>
                    <w:bottom w:val="single" w:color="000000" w:sz="4"/>
                    <w:right w:val="single" w:color="000000" w:sz="4"/>
                  </w:tcBorders>
                </w:tcPr>
                <w:p/>
              </w:tc>
              <w:tc>
                <w:tcPr>
                  <w:tcW w:type="dxa" w:w="721"/>
                  <w:vMerge/>
                  <w:tcBorders>
                    <w:top w:val="single" w:color="000000" w:sz="4"/>
                    <w:left w:val="single" w:color="000000" w:sz="4"/>
                    <w:bottom w:val="single" w:color="000000" w:sz="4"/>
                    <w:right w:val="single" w:color="000000" w:sz="4"/>
                  </w:tcBorders>
                </w:tcPr>
                <w:p/>
              </w:tc>
              <w:tc>
                <w:tcPr>
                  <w:tcW w:type="dxa" w:w="721"/>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12.8米货车（含撤场及人工装卸）</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辆</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136</w:t>
                  </w:r>
                </w:p>
              </w:tc>
              <w:tc>
                <w:tcPr>
                  <w:tcW w:type="dxa" w:w="214"/>
                  <w:vMerge w:val="restart"/>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保险</w:t>
                  </w:r>
                </w:p>
              </w:tc>
              <w:tc>
                <w:tcPr>
                  <w:tcW w:type="dxa" w:w="30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人员保险</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所有人员保险【火炬手、工作人员、保障人员】</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300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人</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137</w:t>
                  </w:r>
                </w:p>
              </w:tc>
              <w:tc>
                <w:tcPr>
                  <w:tcW w:type="dxa" w:w="214"/>
                  <w:vMerge/>
                  <w:tcBorders>
                    <w:top w:val="none" w:color="000000" w:sz="4"/>
                    <w:left w:val="single" w:color="000000" w:sz="4"/>
                    <w:bottom w:val="single" w:color="000000" w:sz="4"/>
                    <w:right w:val="single" w:color="000000" w:sz="4"/>
                  </w:tcBorders>
                </w:tcPr>
                <w:p/>
              </w:tc>
              <w:tc>
                <w:tcPr>
                  <w:tcW w:type="dxa" w:w="300"/>
                  <w:tcBorders>
                    <w:top w:val="non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活动公众险</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整体传递活动保险</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138</w:t>
                  </w:r>
                </w:p>
              </w:tc>
              <w:tc>
                <w:tcPr>
                  <w:tcW w:type="dxa" w:w="214"/>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其他</w:t>
                  </w:r>
                </w:p>
              </w:tc>
              <w:tc>
                <w:tcPr>
                  <w:tcW w:type="dxa" w:w="3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办公用品</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打印机、笔、墨、A4纸、插线板、文件袋、喷漆、资料打印等</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139</w:t>
                  </w:r>
                </w:p>
              </w:tc>
              <w:tc>
                <w:tcPr>
                  <w:tcW w:type="dxa" w:w="214"/>
                  <w:vMerge/>
                  <w:tcBorders>
                    <w:top w:val="single" w:color="000000" w:sz="4"/>
                    <w:left w:val="single" w:color="000000" w:sz="4"/>
                    <w:bottom w:val="single" w:color="000000" w:sz="4"/>
                    <w:right w:val="single" w:color="000000" w:sz="4"/>
                  </w:tcBorders>
                </w:tcPr>
                <w:p/>
              </w:tc>
              <w:tc>
                <w:tcPr>
                  <w:tcW w:type="dxa" w:w="3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饮用水</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所有工作人员用水</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140</w:t>
                  </w:r>
                </w:p>
              </w:tc>
              <w:tc>
                <w:tcPr>
                  <w:tcW w:type="dxa" w:w="214"/>
                  <w:vMerge/>
                  <w:tcBorders>
                    <w:top w:val="single" w:color="000000" w:sz="4"/>
                    <w:left w:val="single" w:color="000000" w:sz="4"/>
                    <w:bottom w:val="single" w:color="000000" w:sz="4"/>
                    <w:right w:val="single" w:color="000000" w:sz="4"/>
                  </w:tcBorders>
                </w:tcPr>
                <w:p/>
              </w:tc>
              <w:tc>
                <w:tcPr>
                  <w:tcW w:type="dxa" w:w="3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广告打印</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志愿者证书、火炬手证书、活动手册、志愿者手册等</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141</w:t>
                  </w:r>
                </w:p>
              </w:tc>
              <w:tc>
                <w:tcPr>
                  <w:tcW w:type="dxa" w:w="214"/>
                  <w:vMerge/>
                  <w:tcBorders>
                    <w:top w:val="single" w:color="000000" w:sz="4"/>
                    <w:left w:val="single" w:color="000000" w:sz="4"/>
                    <w:bottom w:val="single" w:color="000000" w:sz="4"/>
                    <w:right w:val="single" w:color="000000" w:sz="4"/>
                  </w:tcBorders>
                </w:tcPr>
                <w:p/>
              </w:tc>
              <w:tc>
                <w:tcPr>
                  <w:tcW w:type="dxa" w:w="3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工作证件</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志愿者证，工作人员证，嘉宾证，媒体证，安保证，车辆通行证等</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142</w:t>
                  </w:r>
                </w:p>
              </w:tc>
              <w:tc>
                <w:tcPr>
                  <w:tcW w:type="dxa" w:w="214"/>
                  <w:vMerge/>
                  <w:tcBorders>
                    <w:top w:val="single" w:color="000000" w:sz="4"/>
                    <w:left w:val="single" w:color="000000" w:sz="4"/>
                    <w:bottom w:val="single" w:color="000000" w:sz="4"/>
                    <w:right w:val="single" w:color="000000" w:sz="4"/>
                  </w:tcBorders>
                </w:tcPr>
                <w:p/>
              </w:tc>
              <w:tc>
                <w:tcPr>
                  <w:tcW w:type="dxa" w:w="3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火炬手证件</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火炬手号码贴</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143</w:t>
                  </w:r>
                </w:p>
              </w:tc>
              <w:tc>
                <w:tcPr>
                  <w:tcW w:type="dxa" w:w="214"/>
                  <w:vMerge/>
                  <w:tcBorders>
                    <w:top w:val="single" w:color="000000" w:sz="4"/>
                    <w:left w:val="single" w:color="000000" w:sz="4"/>
                    <w:bottom w:val="single" w:color="000000" w:sz="4"/>
                    <w:right w:val="single" w:color="000000" w:sz="4"/>
                  </w:tcBorders>
                </w:tcPr>
                <w:p/>
              </w:tc>
              <w:tc>
                <w:tcPr>
                  <w:tcW w:type="dxa" w:w="3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仪式议程物料</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站位贴、托盘、授牌、麦标、主持人手卡、会议夹等</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144</w:t>
                  </w:r>
                </w:p>
              </w:tc>
              <w:tc>
                <w:tcPr>
                  <w:tcW w:type="dxa" w:w="214"/>
                  <w:vMerge/>
                  <w:tcBorders>
                    <w:top w:val="single" w:color="000000" w:sz="4"/>
                    <w:left w:val="single" w:color="000000" w:sz="4"/>
                    <w:bottom w:val="single" w:color="000000" w:sz="4"/>
                    <w:right w:val="single" w:color="000000" w:sz="4"/>
                  </w:tcBorders>
                </w:tcPr>
                <w:p/>
              </w:tc>
              <w:tc>
                <w:tcPr>
                  <w:tcW w:type="dxa" w:w="3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应急雨具</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工作人员雨衣、领导雨伞等</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145</w:t>
                  </w:r>
                </w:p>
              </w:tc>
              <w:tc>
                <w:tcPr>
                  <w:tcW w:type="dxa" w:w="214"/>
                  <w:vMerge/>
                  <w:tcBorders>
                    <w:top w:val="single" w:color="000000" w:sz="4"/>
                    <w:left w:val="single" w:color="000000" w:sz="4"/>
                    <w:bottom w:val="single" w:color="000000" w:sz="4"/>
                    <w:right w:val="single" w:color="000000" w:sz="4"/>
                  </w:tcBorders>
                </w:tcPr>
                <w:p/>
              </w:tc>
              <w:tc>
                <w:tcPr>
                  <w:tcW w:type="dxa" w:w="3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服装</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火炬手、护卫队、工作人员、志愿者、礼仪服装</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16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146</w:t>
                  </w:r>
                </w:p>
              </w:tc>
              <w:tc>
                <w:tcPr>
                  <w:tcW w:type="dxa" w:w="214"/>
                  <w:vMerge/>
                  <w:tcBorders>
                    <w:top w:val="single" w:color="000000" w:sz="4"/>
                    <w:left w:val="single" w:color="000000" w:sz="4"/>
                    <w:bottom w:val="single" w:color="000000" w:sz="4"/>
                    <w:right w:val="single" w:color="000000" w:sz="4"/>
                  </w:tcBorders>
                </w:tcPr>
                <w:p/>
              </w:tc>
              <w:tc>
                <w:tcPr>
                  <w:tcW w:type="dxa" w:w="300"/>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执行服务费</w:t>
                  </w:r>
                </w:p>
              </w:tc>
              <w:tc>
                <w:tcPr>
                  <w:tcW w:type="dxa" w:w="1442"/>
                  <w:gridSpan w:val="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前端流程规划、仪式执行、方案策划、方案执行等</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14"/>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供应商应组建专业的服务团队，负责对项目实施过程的控制及管理。</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供应商应配置履行服务所需的设施设备，以便提高服务质量及效率。</w:t>
      </w:r>
    </w:p>
    <w:p>
      <w:pPr>
        <w:pStyle w:val="null3"/>
        <w:outlineLvl w:val="3"/>
      </w:pPr>
      <w:r>
        <w:rPr>
          <w:rFonts w:ascii="仿宋_GB2312" w:hAnsi="仿宋_GB2312" w:cs="仿宋_GB2312" w:eastAsia="仿宋_GB2312"/>
          <w:sz w:val="24"/>
          <w:b/>
        </w:rPr>
        <w:t>3.2.5服务内容其他要求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自合同签订之日起至项目结束后30日历天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陕西省渭南市华阴市</w:t>
      </w:r>
    </w:p>
    <w:p>
      <w:pPr>
        <w:pStyle w:val="null3"/>
        <w:outlineLvl w:val="3"/>
      </w:pPr>
      <w:r>
        <w:rPr>
          <w:rFonts w:ascii="仿宋_GB2312" w:hAnsi="仿宋_GB2312" w:cs="仿宋_GB2312" w:eastAsia="仿宋_GB2312"/>
          <w:sz w:val="24"/>
          <w:b/>
        </w:rPr>
        <w:t>3.3.3验收标准和方法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1、本项目还需要达到以下验收要求：符合国家、省市相关法律、法规、标准、规范。2、验收标准:按采购文件、响应文件及澄清函、项目检查情况等综合指标进行验收。各项指标均应符合验收标准及要求。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jc w:val="left"/>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进度款，火炬传递相关设备完成移交并经甲方验收合格后，达到付款条件起15个工作日内，支付合同总金额的30.0%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进度款，项目全部执行完毕且无任何遗留问题,经验收合格后，，达到付款条件起15个工作日内，支付合同总金额的30.0%</w:t>
      </w:r>
    </w:p>
    <w:p>
      <w:pPr>
        <w:pStyle w:val="null3"/>
        <w:jc w:val="left"/>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1、违约责任按《中华人民共和国民法典》处理中的相关条款执行。 2、乙方履约延误 2-1、如乙方事先未征得甲方同意并得到甲方的谅解而单方面延迟提供服务，将按违约终止合同。 2-2、乙方必须严格按照服务期要求执行，超期甲方不予支付合同款，同时保留追究相关责任的权利。 2-3、违约终止合同：未按合同要求提供服务，甲方会同监督机构有权终止合同，对乙方违约行为进行追究，同时按政府采购法的有关规定进行相应的处罚。 2、解决争议的方法凡因本合同引起的或与本合同有关的争议，双方应友好协商解决。协商不成时，双方均同意采用以下第（ ）种争议解决方式： （1）甲、乙双方均同意向（甲方所在地人民法院）提起诉讼。 （2）甲、乙双方均同意向（仲裁委员会）提起仲裁。</w:t>
      </w:r>
    </w:p>
    <w:p>
      <w:pPr>
        <w:pStyle w:val="null3"/>
        <w:outlineLvl w:val="3"/>
      </w:pPr>
      <w:r>
        <w:rPr>
          <w:rFonts w:ascii="仿宋_GB2312" w:hAnsi="仿宋_GB2312" w:cs="仿宋_GB2312" w:eastAsia="仿宋_GB2312"/>
          <w:sz w:val="24"/>
          <w:b/>
        </w:rPr>
        <w:t>3.4 其它要求</w:t>
      </w:r>
    </w:p>
    <w:p>
      <w:pPr>
        <w:pStyle w:val="null3"/>
      </w:pPr>
      <w:r>
        <w:rPr>
          <w:rFonts w:ascii="仿宋_GB2312" w:hAnsi="仿宋_GB2312" w:cs="仿宋_GB2312" w:eastAsia="仿宋_GB2312"/>
        </w:rPr>
        <w:t>1.成交人在领取成交通知书前，须向采购代理机构提供纸质版响应文件3套，且提供的响应文件必须与在陕西省政府采购综合管理平台的项目电子化交易系统中递交的电子响应文件内容一致，纸质版响应文件必须装订成册签字盖章。2.如采购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有独立承担民事责任能力的企业法人或其他组织，提供合格有效的企业法人营业执照副本，税务登记证副本，组织机构代码证副本（或多证合一的统一社会信用代码的营业执照副本）；</w:t>
            </w:r>
          </w:p>
        </w:tc>
        <w:tc>
          <w:tcPr>
            <w:tcW w:type="dxa" w:w="1661"/>
          </w:tcPr>
          <w:p>
            <w:pPr>
              <w:pStyle w:val="null3"/>
            </w:pPr>
            <w:r>
              <w:rPr>
                <w:rFonts w:ascii="仿宋_GB2312" w:hAnsi="仿宋_GB2312" w:cs="仿宋_GB2312" w:eastAsia="仿宋_GB2312"/>
              </w:rPr>
              <w:t>供应商应提交的相关资格证明材料 其他资料.docx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供应商应授权合法的人员参加采购全过程，法定代表人直接参加的须提交其身份证原件及法定代表人证明书，法定代表人授权代表参加采购的，须出具法定代表人授权书及被授权人身份证；</w:t>
            </w:r>
          </w:p>
        </w:tc>
        <w:tc>
          <w:tcPr>
            <w:tcW w:type="dxa" w:w="1661"/>
          </w:tcPr>
          <w:p>
            <w:pPr>
              <w:pStyle w:val="null3"/>
            </w:pPr>
            <w:r>
              <w:rPr>
                <w:rFonts w:ascii="仿宋_GB2312" w:hAnsi="仿宋_GB2312" w:cs="仿宋_GB2312" w:eastAsia="仿宋_GB2312"/>
              </w:rPr>
              <w:t>供应商应提交的相关资格证明材料 其他资料.docx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提供2025年度经审计的财务报告或开标前六个月内其基本账户银行出具的资信证明或财政部门认可的政府采购专业担保机构出具的担保函；</w:t>
            </w:r>
          </w:p>
        </w:tc>
        <w:tc>
          <w:tcPr>
            <w:tcW w:type="dxa" w:w="1661"/>
          </w:tcPr>
          <w:p>
            <w:pPr>
              <w:pStyle w:val="null3"/>
            </w:pPr>
            <w:r>
              <w:rPr>
                <w:rFonts w:ascii="仿宋_GB2312" w:hAnsi="仿宋_GB2312" w:cs="仿宋_GB2312" w:eastAsia="仿宋_GB2312"/>
              </w:rPr>
              <w:t>供应商应提交的相关资格证明材料 其他资料.docx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履行本合同所必需的设备和专业技术能力的书面声明</w:t>
            </w:r>
          </w:p>
        </w:tc>
        <w:tc>
          <w:tcPr>
            <w:tcW w:type="dxa" w:w="3322"/>
          </w:tcPr>
          <w:p>
            <w:pPr>
              <w:pStyle w:val="null3"/>
            </w:pPr>
            <w:r>
              <w:rPr>
                <w:rFonts w:ascii="仿宋_GB2312" w:hAnsi="仿宋_GB2312" w:cs="仿宋_GB2312" w:eastAsia="仿宋_GB2312"/>
              </w:rPr>
              <w:t>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 其他资料.docx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提供供应商近一年任意一个月的社会保障资金缴存单据或社保机构开具的社会保险参保缴费情况证明；依法不需要缴纳社会保障资金的应提供相关文件证明；</w:t>
            </w:r>
          </w:p>
        </w:tc>
        <w:tc>
          <w:tcPr>
            <w:tcW w:type="dxa" w:w="1661"/>
          </w:tcPr>
          <w:p>
            <w:pPr>
              <w:pStyle w:val="null3"/>
            </w:pPr>
            <w:r>
              <w:rPr>
                <w:rFonts w:ascii="仿宋_GB2312" w:hAnsi="仿宋_GB2312" w:cs="仿宋_GB2312" w:eastAsia="仿宋_GB2312"/>
              </w:rPr>
              <w:t>供应商应提交的相关资格证明材料 其他资料.docx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提供供应商近一年已缴纳任意一个月完税凭证 或税务机关开具的完税证明（任意税种）；依法免税的应提供相关文件证明；</w:t>
            </w:r>
          </w:p>
        </w:tc>
        <w:tc>
          <w:tcPr>
            <w:tcW w:type="dxa" w:w="1661"/>
          </w:tcPr>
          <w:p>
            <w:pPr>
              <w:pStyle w:val="null3"/>
            </w:pPr>
            <w:r>
              <w:rPr>
                <w:rFonts w:ascii="仿宋_GB2312" w:hAnsi="仿宋_GB2312" w:cs="仿宋_GB2312" w:eastAsia="仿宋_GB2312"/>
              </w:rPr>
              <w:t>供应商应提交的相关资格证明材料 其他资料.docx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在采购截止日前未被列入失信被执行人、重大税收违法案件当事人名单、政府采购严重违法失信行为记录名单（处罚期限届满的除外）（以“信用中国”网站（www.creditchina.gov.cn）信用报告及中国政府采购网（www.ccgp.gov.cn）查询结果为准，提供网站截图并加盖供应商公章；</w:t>
            </w:r>
          </w:p>
        </w:tc>
        <w:tc>
          <w:tcPr>
            <w:tcW w:type="dxa" w:w="1661"/>
          </w:tcPr>
          <w:p>
            <w:pPr>
              <w:pStyle w:val="null3"/>
            </w:pPr>
            <w:r>
              <w:rPr>
                <w:rFonts w:ascii="仿宋_GB2312" w:hAnsi="仿宋_GB2312" w:cs="仿宋_GB2312" w:eastAsia="仿宋_GB2312"/>
              </w:rPr>
              <w:t>供应商应提交的相关资格证明材料 其他资料.docx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供应商须出具参加采购活动前三年内，在经营活动中没有重大违法记录声明原件。</w:t>
            </w:r>
          </w:p>
        </w:tc>
        <w:tc>
          <w:tcPr>
            <w:tcW w:type="dxa" w:w="1661"/>
          </w:tcPr>
          <w:p>
            <w:pPr>
              <w:pStyle w:val="null3"/>
            </w:pPr>
            <w:r>
              <w:rPr>
                <w:rFonts w:ascii="仿宋_GB2312" w:hAnsi="仿宋_GB2312" w:cs="仿宋_GB2312" w:eastAsia="仿宋_GB2312"/>
              </w:rPr>
              <w:t>供应商应提交的相关资格证明材料 其他资料.docx 资格证明文件.docx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jc w:val="left"/>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（二）审查供应商响应文件是否满足谈判文件要求，并作出公正评价；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（五）起草谈判报告并进行签署；</w:t>
      </w:r>
    </w:p>
    <w:p>
      <w:pPr>
        <w:pStyle w:val="null3"/>
        <w:ind w:firstLine="480"/>
      </w:pPr>
      <w:r>
        <w:rPr>
          <w:rFonts w:ascii="仿宋_GB2312" w:hAnsi="仿宋_GB2312" w:cs="仿宋_GB2312" w:eastAsia="仿宋_GB2312"/>
        </w:rPr>
        <w:t>（六）向采购人、代理机构、财政部门或者其他监督部门报告非法干预评审工作的行为；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出现上述应当停止评审情形的，谈判小组应当通过项目电子化交易系统向采购组织单位提交相关说明材料，说明停止评审的情形和具体理由。</w:t>
      </w:r>
    </w:p>
    <w:p>
      <w:pPr>
        <w:pStyle w:val="null3"/>
        <w:ind w:firstLine="480"/>
        <w:jc w:val="left"/>
      </w:pPr>
      <w:r>
        <w:rPr>
          <w:rFonts w:ascii="仿宋_GB2312" w:hAnsi="仿宋_GB2312" w:cs="仿宋_GB2312" w:eastAsia="仿宋_GB2312"/>
        </w:rPr>
        <w:t>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符合谈判文件规定签署盖章要求。</w:t>
            </w:r>
          </w:p>
        </w:tc>
        <w:tc>
          <w:tcPr>
            <w:tcW w:type="dxa" w:w="1661"/>
          </w:tcPr>
          <w:p>
            <w:pPr>
              <w:pStyle w:val="null3"/>
            </w:pPr>
            <w:r>
              <w:rPr>
                <w:rFonts w:ascii="仿宋_GB2312" w:hAnsi="仿宋_GB2312" w:cs="仿宋_GB2312" w:eastAsia="仿宋_GB2312"/>
              </w:rPr>
              <w:t>中小企业声明函 商务应答表 供应商应提交的相关资格证明材料 服务内容及服务要求应答表 报价表 资格证明文件.docx 响应文件封面 残疾人福利性单位声明函 服务方案 标的清单 其他资料.docx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同时满足以下条款： （1）货币单位符合谈判文件要求（2）报价符合唯一性要求 （3）未超出采购预算或最高限价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谈判有效期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服务内容及服务要求应答表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服务内容、服务地点、服务期限</w:t>
            </w:r>
          </w:p>
        </w:tc>
        <w:tc>
          <w:tcPr>
            <w:tcW w:type="dxa" w:w="3322"/>
          </w:tcPr>
          <w:p>
            <w:pPr>
              <w:pStyle w:val="null3"/>
            </w:pPr>
            <w:r>
              <w:rPr>
                <w:rFonts w:ascii="仿宋_GB2312" w:hAnsi="仿宋_GB2312" w:cs="仿宋_GB2312" w:eastAsia="仿宋_GB2312"/>
              </w:rPr>
              <w:t>满足谈判文件的要求</w:t>
            </w:r>
          </w:p>
        </w:tc>
        <w:tc>
          <w:tcPr>
            <w:tcW w:type="dxa" w:w="1661"/>
          </w:tcPr>
          <w:p>
            <w:pPr>
              <w:pStyle w:val="null3"/>
            </w:pPr>
            <w:r>
              <w:rPr>
                <w:rFonts w:ascii="仿宋_GB2312" w:hAnsi="仿宋_GB2312" w:cs="仿宋_GB2312" w:eastAsia="仿宋_GB2312"/>
              </w:rPr>
              <w:t>商务应答表 服务方案 服务内容及服务要求应答表 其他资料.docx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的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jc w:val="left"/>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（1）投标（响应）报价低于全部通过符合性审查供应商投标（响应）报价平均值60%的，即投标（响应）报价&lt;全部通过符合性审查供应商投标（响应）报价平均值×60%。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6.3.10谈判异议处理规则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