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版本号：SXZH-2026-04020260520001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艺术设计平台采购项目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SXZH-2026-040</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艺术设计平台采购项目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SXZH-2026-040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艺术设计平台采购项目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本项目为艺术设计平台采购项目，分为2个采购包，具体详见招标文件第三章。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1、法定代表人授权委托书：法定代表人参加投标的，投标文件中须附身份证；法定代表人授权他人参加投标的，投标文件中须附法定代表人授权委托书及被授权人身份证；</w:t>
      </w:r>
    </w:p>
    <w:p>
      <w:pPr>
        <w:pStyle w:val="null3"/>
      </w:pPr>
      <w:r>
        <w:rPr>
          <w:rFonts w:ascii="仿宋_GB2312" w:hAnsi="仿宋_GB2312" w:cs="仿宋_GB2312" w:eastAsia="仿宋_GB2312"/>
        </w:rPr>
        <w:t>2、不接受联合体投标：本项目不接受联合体投标，不允许分包。投标人应提供《非联合体不分包投标声明》。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1、法定代表人授权委托书：法定代表人参加投标的，投标文件中须附身份证；法定代表人授权他人参加投标的，投标文件中须附法定代表人授权委托书及被授权人身份证；</w:t>
      </w:r>
    </w:p>
    <w:p>
      <w:pPr>
        <w:pStyle w:val="null3"/>
      </w:pPr>
      <w:r>
        <w:rPr>
          <w:rFonts w:ascii="仿宋_GB2312" w:hAnsi="仿宋_GB2312" w:cs="仿宋_GB2312" w:eastAsia="仿宋_GB2312"/>
        </w:rPr>
        <w:t>2、不接受联合体投标：本项目不接受联合体投标，不允许分包。投标人应提供《非联合体不分包投标声明》。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13228005857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采购包2：550,000.00元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采购包1设计软件配套工作站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开户名称：陕西筑辉工程咨询有限公司</w:t>
            </w:r>
          </w:p>
          <w:p>
            <w:pPr>
              <w:pStyle w:val="null3"/>
            </w:pPr>
            <w:r>
              <w:rPr>
                <w:rFonts w:ascii="仿宋_GB2312" w:hAnsi="仿宋_GB2312" w:cs="仿宋_GB2312" w:eastAsia="仿宋_GB2312"/>
              </w:rPr>
              <w:t>开户银行：北京银行股份有限公司西安经济技术开发区支行</w:t>
            </w:r>
          </w:p>
          <w:p>
            <w:pPr>
              <w:pStyle w:val="null3"/>
            </w:pPr>
            <w:r>
              <w:rPr>
                <w:rFonts w:ascii="仿宋_GB2312" w:hAnsi="仿宋_GB2312" w:cs="仿宋_GB2312" w:eastAsia="仿宋_GB2312"/>
              </w:rPr>
              <w:t>银行账号：20000041418600030109571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说明：合同签署时以公对公方式转账至采购人公户（账户信息中标后提供）</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说明：合同签署时以公对公方式转账至采购人公户（账户信息中标后提供）</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联系人：薛南</w:t>
      </w:r>
    </w:p>
    <w:p>
      <w:pPr>
        <w:pStyle w:val="null3"/>
      </w:pPr>
      <w:r>
        <w:rPr>
          <w:rFonts w:ascii="仿宋_GB2312" w:hAnsi="仿宋_GB2312" w:cs="仿宋_GB2312" w:eastAsia="仿宋_GB2312"/>
        </w:rPr>
        <w:t>联系电话：13228005857</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艺术设计平台采购项目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红色文创产品主机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设计软件配套工作站</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三维扫描仪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喷砂机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超声波清洗机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空压机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定制展示1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定制操作台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高温电窑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高温实验电窑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辅助拉坯设施设备</w:t>
            </w:r>
          </w:p>
        </w:tc>
        <w:tc>
          <w:tcPr>
            <w:tcW w:type="dxa" w:w="755"/>
          </w:tcPr>
          <w:p>
            <w:pPr>
              <w:pStyle w:val="null3"/>
              <w:jc w:val="right"/>
            </w:pPr>
            <w:r>
              <w:rPr>
                <w:rFonts w:ascii="仿宋_GB2312" w:hAnsi="仿宋_GB2312" w:cs="仿宋_GB2312" w:eastAsia="仿宋_GB2312"/>
              </w:rPr>
              <w:t>24.00</w:t>
            </w:r>
          </w:p>
        </w:tc>
        <w:tc>
          <w:tcPr>
            <w:tcW w:type="dxa" w:w="755"/>
          </w:tcPr>
          <w:p>
            <w:pPr>
              <w:pStyle w:val="null3"/>
              <w:jc w:val="right"/>
            </w:pPr>
            <w:r>
              <w:rPr>
                <w:rFonts w:ascii="仿宋_GB2312" w:hAnsi="仿宋_GB2312" w:cs="仿宋_GB2312" w:eastAsia="仿宋_GB2312"/>
              </w:rPr>
              <w:t>96,000.00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陶艺操作设备</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泥塑彩绘操作设备</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5,600.00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施釉设备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晾坯架</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6,600.00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移动坯架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工具包1</w:t>
            </w:r>
          </w:p>
        </w:tc>
        <w:tc>
          <w:tcPr>
            <w:tcW w:type="dxa" w:w="755"/>
          </w:tcPr>
          <w:p>
            <w:pPr>
              <w:pStyle w:val="null3"/>
              <w:jc w:val="right"/>
            </w:pPr>
            <w:r>
              <w:rPr>
                <w:rFonts w:ascii="仿宋_GB2312" w:hAnsi="仿宋_GB2312" w:cs="仿宋_GB2312" w:eastAsia="仿宋_GB2312"/>
              </w:rPr>
              <w:t>23.00</w:t>
            </w:r>
          </w:p>
        </w:tc>
        <w:tc>
          <w:tcPr>
            <w:tcW w:type="dxa" w:w="755"/>
          </w:tcPr>
          <w:p>
            <w:pPr>
              <w:pStyle w:val="null3"/>
              <w:jc w:val="right"/>
            </w:pPr>
            <w:r>
              <w:rPr>
                <w:rFonts w:ascii="仿宋_GB2312" w:hAnsi="仿宋_GB2312" w:cs="仿宋_GB2312" w:eastAsia="仿宋_GB2312"/>
              </w:rPr>
              <w:t>13,800.00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工具包2</w:t>
            </w:r>
          </w:p>
        </w:tc>
        <w:tc>
          <w:tcPr>
            <w:tcW w:type="dxa" w:w="755"/>
          </w:tcPr>
          <w:p>
            <w:pPr>
              <w:pStyle w:val="null3"/>
              <w:jc w:val="right"/>
            </w:pPr>
            <w:r>
              <w:rPr>
                <w:rFonts w:ascii="仿宋_GB2312" w:hAnsi="仿宋_GB2312" w:cs="仿宋_GB2312" w:eastAsia="仿宋_GB2312"/>
              </w:rPr>
              <w:t>45.00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施釉烧制标准工具包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烧制品消耗材料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标的名称：红色文创产品主机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（一）主机要求：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1.成型原理：3D打印；</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喷头数量：≥2个压电喷头；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打印通道：≥8通道；</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喷孔数量：≥2500个；</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成型平台：旋转式成型；</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成型尺寸：外径≥φ460mm，内径≤φ100mm，高≥150mm；</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打印层厚模式：18μm、36μm；</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选择打印：全彩色打印、贴图打印、渐变色打印、半透明、全透明打印等；</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材料配置：≥7种材料，至少满足2年教学使用，分2年供应</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可选打印材料：abs树脂；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支撑材料：碱溶性支撑材料；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打印精度：≥600*600*1400dpi；</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软件功能：模型自动排版、自动生成支撑、即时分层边切边打、切片导出、自定义颜色厚度、自定义摆放/缩放、一对多和多对多连接方式、工时评估、材料用量评估、材料剩余量显示、变更材料和颜色、管理工作队列、全包/半包围打印、打印状态监控、缺墨自动暂停、断电恢复打印、自动清洗喷头、通道自动适配、模型干涉自动检测、层预览、随形铺底、按需打印；</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支持格式：STL、PLY、WRL、OBJ、WJP等</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操作条件：温度 20～30℃；相对湿度 40～80% (不凝结)；</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系统兼容性：主机系统具有兼容；</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电源支持：AC200～240V 50-60Hz,额定功率0.9kw；</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（二）软件要求：</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支持模型设计制造、产品逆向设计建模、创新产品案例教学与资源下载；</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平台项目教学模块≥40多个教学视频，教学PPT资源≥60个；</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提供FDM 3D打印机（含X/Y/Z轴、送丝机构、整机控制系统）、金属3D打印机、光固化3D打印机的模型展示与核心机构原理解析；（光固化3D打印机的模型展示与核心机构原理解析需提供功能演示）</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创新产品案例教学与资源下载模块中提供原创作品的设计流程教学与模型资源支持下载打印；</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可按功能导向定制化开发3D打印机虚拟装调及动态演示；</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提供光固化3D打印设备操作实训，提供零件切片打印流程。以设备操作为考核点，自动评分并生成考核报告（提供功能演示）；</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提供金属3D打印设备操作实训，零件切片打印流程。并以设备操作为考核点，自动评分并生成考核报告；</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可进行3D打印设备的DIY装调实训，可进行多种3D打印设备的选取，可进行3D打印机的设计，并进行设计后的的3D打印机的展示，以操作过程为考核点，自动评分并生成考核报告；</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可进行场景化，仿真化的金属3D打印机基本操作教学，与3D打印机专业建模软件以及切片软件进行互通，在通过高精度建模搭建的3D打印实验室中，实现真实性与教学性、拓展性兼顾的实操教学的数字孪生；</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能够分析学生能力达成情况，针对学生实践成绩进行学生能力的评价并导出分析报告（提供功能演示）</w:t>
            </w:r>
          </w:p>
        </w:tc>
      </w:tr>
    </w:tbl>
    <w:p>
      <w:pPr>
        <w:pStyle w:val="null3"/>
      </w:pPr>
      <w:r>
        <w:rPr>
          <w:rFonts w:ascii="仿宋_GB2312" w:hAnsi="仿宋_GB2312" w:cs="仿宋_GB2312" w:eastAsia="仿宋_GB2312"/>
        </w:rPr>
        <w:t>标的名称：设计软件配套工作站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CPU：≥20核20 线程（8P+12E）</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显存≥16GB,内存≥64GB</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硬盘≥1TB SSD+2T机械，显示器≥27英寸</w:t>
            </w:r>
          </w:p>
        </w:tc>
      </w:tr>
    </w:tbl>
    <w:p>
      <w:pPr>
        <w:pStyle w:val="null3"/>
      </w:pPr>
      <w:r>
        <w:rPr>
          <w:rFonts w:ascii="仿宋_GB2312" w:hAnsi="仿宋_GB2312" w:cs="仿宋_GB2312" w:eastAsia="仿宋_GB2312"/>
        </w:rPr>
        <w:t>标的名称：三维扫描仪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至少支持四种：蓝色单线激光、蓝色7线激光、蓝色34线激光、红外光双目结构</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精度：≤0.05mm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点距：0.02～2mm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扫描速度:单线激光模式≥90fps、红外双目模式≥30fps</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工作距离：蓝色单线激光200～600mm、蓝色7线激光150mm～400mm、蓝色34线激光200～600mm、红外光双目结构170～1200mm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白色LED补光灯</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无线扫描：支持</w:t>
            </w:r>
          </w:p>
        </w:tc>
      </w:tr>
    </w:tbl>
    <w:p>
      <w:pPr>
        <w:pStyle w:val="null3"/>
      </w:pPr>
      <w:r>
        <w:rPr>
          <w:rFonts w:ascii="仿宋_GB2312" w:hAnsi="仿宋_GB2312" w:cs="仿宋_GB2312" w:eastAsia="仿宋_GB2312"/>
        </w:rPr>
        <w:t>标的名称：喷砂机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室内尺寸：≥600*500*580mm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除尘方式：≥水沙混合无尘喷砂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总功率：≥750W</w:t>
            </w:r>
          </w:p>
        </w:tc>
      </w:tr>
    </w:tbl>
    <w:p>
      <w:pPr>
        <w:pStyle w:val="null3"/>
      </w:pPr>
      <w:r>
        <w:rPr>
          <w:rFonts w:ascii="仿宋_GB2312" w:hAnsi="仿宋_GB2312" w:cs="仿宋_GB2312" w:eastAsia="仿宋_GB2312"/>
        </w:rPr>
        <w:t>标的名称：超声波清洗机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容量：≥35L</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超声功率：≥900W</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工业振头：≥15个</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加热功率：≥2500W</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温度范围常温～100℃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内槽尺寸：≥400*300*300mm</w:t>
            </w:r>
          </w:p>
        </w:tc>
      </w:tr>
    </w:tbl>
    <w:p>
      <w:pPr>
        <w:pStyle w:val="null3"/>
      </w:pPr>
      <w:r>
        <w:rPr>
          <w:rFonts w:ascii="仿宋_GB2312" w:hAnsi="仿宋_GB2312" w:cs="仿宋_GB2312" w:eastAsia="仿宋_GB2312"/>
        </w:rPr>
        <w:t>标的名称：空压机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工作压力：≥3×105bar</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空气流量：≥750/min</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气罐容量：≥70L</w:t>
            </w:r>
          </w:p>
        </w:tc>
      </w:tr>
    </w:tbl>
    <w:p>
      <w:pPr>
        <w:pStyle w:val="null3"/>
      </w:pPr>
      <w:r>
        <w:rPr>
          <w:rFonts w:ascii="仿宋_GB2312" w:hAnsi="仿宋_GB2312" w:cs="仿宋_GB2312" w:eastAsia="仿宋_GB2312"/>
        </w:rPr>
        <w:t>标的名称：定制展示1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产品展示柜参考尺寸≥1200×400×2000mm，展示位层高可调，≥3层，钢化玻璃，含顶上灯，背面玻璃/镜面/白板可选，无需加锁。</w:t>
            </w:r>
          </w:p>
        </w:tc>
      </w:tr>
    </w:tbl>
    <w:p>
      <w:pPr>
        <w:pStyle w:val="null3"/>
      </w:pPr>
      <w:r>
        <w:rPr>
          <w:rFonts w:ascii="仿宋_GB2312" w:hAnsi="仿宋_GB2312" w:cs="仿宋_GB2312" w:eastAsia="仿宋_GB2312"/>
        </w:rPr>
        <w:t>标的名称：定制操作台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参考尺寸≥1500×1200×800mm，防静电台面，加固承重横梁，冷轧钢架、台面材质防静电高密度板、称重≥150KG。</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标的名称：高温电窑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外部尺寸需求：≥宽110cm*深165cm*高170cm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有效容积：≥宽60cm×深100cm×高85cm（不含弧形拱高）</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轨道窑车需求：需带轨道窑车，轨道长度不低于2m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产品电压：380V，功率≥40kW（含窑炉所需电缆布置，≥25平方线缆，包含配电柜及电缆铺设，铺设距离50m-60m,须提供承诺函并加盖投标人公章）</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棚板尺寸：含全套窑具（棚板及马脚）</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控温方式：全自动可编程智能语音控制。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显示：中文，≥7英寸液晶触屏，预存≥15条曲线；炉膛内≥3个测温区，内部温差≤10度。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加热元件：耐温≥1350度。</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保温材料：耐温≥1350度的莫来石砖，局部搭配硅酸铝毯。</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控制柜：设置≥3个温区，温度独立调节。可AI语音控制、手机远程操控。</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窑体：双层炉壳，框架采用≥1.5mm的钢板，内框采用≥4*4cm方钢（抗压≥30T），表面防锈漆覆底覆。</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高温砖:由轻质耐火砖和高品质、节能的背衬隔热材料组成的多层隔热层，耐温≥1350度，烧制过程中不含六大重金属物质释放。自承式拱形炉顶，炉顶有排气口，以及自动排气盖。</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测温仪：S型热电偶，采用国标铂金丝配件，温差控制精度≤10度。</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安全保障：当炉门开启时，加热丝自动断电。</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有电流过载保护功能，电流实时监测。确保窑炉只能在小于等于额定电流下正常供给电源，一旦电流超出额定范围停止电源对炉丝的供应（防止炉丝弹出短路、作品倒塌接触到炉丝、作品太湿导致炉内湿气过大、电源异常等情况产生的短路风险）</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控制箱超温断电：制箱内配置温度监测系统，超温自动断电功能。温度可设，避免因电气长时间工作而发热，温度过高会引起元器件自燃等事故；</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缺相保护：电源任意一相异常停止，加热丝断电。对炉丝供应，避免因偏相产生过高电流使电线超额负载而引起火灾的风险。</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软件系统：设备配套智能控制系统（含可编程烧成曲线、数据记录功能）</w:t>
            </w:r>
          </w:p>
        </w:tc>
      </w:tr>
    </w:tbl>
    <w:p>
      <w:pPr>
        <w:pStyle w:val="null3"/>
      </w:pPr>
      <w:r>
        <w:rPr>
          <w:rFonts w:ascii="仿宋_GB2312" w:hAnsi="仿宋_GB2312" w:cs="仿宋_GB2312" w:eastAsia="仿宋_GB2312"/>
        </w:rPr>
        <w:t>标的名称：高温实验电窑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内腔容积：≥0.15m³ （≥7英寸液晶WIFI控制版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电压：380V</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功率：≥18kW</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承受温度：0～1350度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常烧温度：0～1250度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棚板尺寸：≥48*50cm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控制柜：≥7寸LCD彩色中文液晶显示器，电容触摸操作方式。预存≥8条可编辑曲线。</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窑体：双层炉壳，框架采用国标不低于1.5mm钢板冷压一次成型，内框采用国标不低于4*4cm方钢材质，厚抗压能力不低于30T；表面以多层绝缘防锈漆为底覆盖三层面漆的方式进行深加工。</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保温材料：高铝刚玉莫来石砖，耐温≥1350度，烧制过程中无六大金属物质释放。</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发热材料：硅钼丝</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加热装置：五面加热</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测温仪：采用国标铂金丝配件，温差控制在≤10度。</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烧制段数：≥32段，可素烧、陶烧、紫砂烧、瓷烧等多功能烧制。</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配4个单轮承重≥250kg以上的带制动万向脚轮。可卡紧式设计，方便固定窑位。</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具有电流过载保护功能，电流实时监测。</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控制箱超温断电：制箱内配置温度监测系统，超温自动断电功能。温度可设。</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缺相保护：电源任意一相异常停止，加热丝断电。</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配3块棚板、20个支柱、1瓶一公斤装氧化铝粉、1双高温手套 。</w:t>
            </w:r>
          </w:p>
        </w:tc>
      </w:tr>
    </w:tbl>
    <w:p>
      <w:pPr>
        <w:pStyle w:val="null3"/>
      </w:pPr>
      <w:r>
        <w:rPr>
          <w:rFonts w:ascii="仿宋_GB2312" w:hAnsi="仿宋_GB2312" w:cs="仿宋_GB2312" w:eastAsia="仿宋_GB2312"/>
        </w:rPr>
        <w:t>标的名称：辅助拉坯设施设备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（一）拉坯机(智能联动款）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外形尺寸：≥L65*W63*52cm （含水盆高度）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转盘：铝合金防锈转盘</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转盘直径：≥Φ30cm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转盘厚度：≥2.5cm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水盆：直径Φ≥45cm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工作电压：AC220V</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功率：≥250W</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转速：0～280r/min转速可控</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负载扭矩：≥50NM</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稳定性：铝盘跳动≤0.05mm</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整机噪音：≤50dB</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产品净重：≥20KG</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调速方式：霍尔脚踏板控速，液晶触屏可控</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旋转方向：正反转</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智能联动功能：技术性能参数中需含有①等速运行、②同步停止、③同步调速、④断开互联</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全身可水洗，霍尔脚踏板防水。</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机身：ABS塑料台面，碳钢机架，表面喷塑。</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水盆：卡扣式安装，水盆ABS材质</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安全性：防漏电插头、防水开关、防水电机罩、密封设计。</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防水数字显示屏和薄膜按键，实时显示转数。</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（二）陶艺方凳</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外形尺寸（长·宽·高）：≥L30*W30*H45cm</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凳面厚度：≥3.5cm</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材质：实木坐面+铁艺支架</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钢架封边，凳面边角打磨；</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四脚装有橡胶防震脚垫。</w:t>
            </w:r>
          </w:p>
        </w:tc>
      </w:tr>
    </w:tbl>
    <w:p>
      <w:pPr>
        <w:pStyle w:val="null3"/>
      </w:pPr>
      <w:r>
        <w:rPr>
          <w:rFonts w:ascii="仿宋_GB2312" w:hAnsi="仿宋_GB2312" w:cs="仿宋_GB2312" w:eastAsia="仿宋_GB2312"/>
        </w:rPr>
        <w:t>标的名称：陶艺操作设备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陶艺木桌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外形尺寸（长·宽·高）：L150*W70*H78.5cm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桌面厚度：≧3.5cm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材质：松木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重量：≥35KG</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钢架封边，桌面边角打磨；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四脚装有橡胶防震脚垫。</w:t>
            </w:r>
          </w:p>
        </w:tc>
      </w:tr>
    </w:tbl>
    <w:p>
      <w:pPr>
        <w:pStyle w:val="null3"/>
      </w:pPr>
      <w:r>
        <w:rPr>
          <w:rFonts w:ascii="仿宋_GB2312" w:hAnsi="仿宋_GB2312" w:cs="仿宋_GB2312" w:eastAsia="仿宋_GB2312"/>
        </w:rPr>
        <w:t>标的名称：泥塑彩绘操作设备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陶艺长凳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外形尺寸（长·宽·高）：L150*W26*H44.5cm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材质：松木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重量：≧22KG</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钢架封边，桌面边角打磨；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四脚装有橡胶防震脚垫。</w:t>
            </w:r>
          </w:p>
        </w:tc>
      </w:tr>
    </w:tbl>
    <w:p>
      <w:pPr>
        <w:pStyle w:val="null3"/>
      </w:pPr>
      <w:r>
        <w:rPr>
          <w:rFonts w:ascii="仿宋_GB2312" w:hAnsi="仿宋_GB2312" w:cs="仿宋_GB2312" w:eastAsia="仿宋_GB2312"/>
        </w:rPr>
        <w:t>标的名称：施釉设备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（一）喷釉柜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主机尺寸：≥L72cm*W78cm*H172cm 带有排气风扇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电机功率：300W</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电机转速：≥1500转</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风机风量：≥2000M3/H</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风机气压：5PA</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控速方式：电动微调</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转盘开关无极变速控制转速快慢；转盘材质：铝合金；转盘尺寸：直径≥26cm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水泵功率：≥550W</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风机转速：≥1450r/min</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风机功率：≥250W</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框架材质：不锈钢+玻璃</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采用水帘循环技术</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设备中带排气风扇，使上釉时雾化后的釉料被吸入水中，减少空气污染和减少人体吸入釉料雾气对呼吸道的损害。</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（二）真空泵</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电源：220V</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电机功率≥750w，带气泵、皮管、喷枪</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储存罐容积≥18L</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额定排气压力≤7×10-4Pa</w:t>
            </w:r>
          </w:p>
        </w:tc>
      </w:tr>
    </w:tbl>
    <w:p>
      <w:pPr>
        <w:pStyle w:val="null3"/>
      </w:pPr>
      <w:r>
        <w:rPr>
          <w:rFonts w:ascii="仿宋_GB2312" w:hAnsi="仿宋_GB2312" w:cs="仿宋_GB2312" w:eastAsia="仿宋_GB2312"/>
        </w:rPr>
        <w:t>标的名称：晾坯架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外形尺寸（长·宽·高）：≥L140*W40*H163cm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隔层高度：底层高约42cm，其他隔层高约30cm，高度可调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层板厚度：≥1.5cm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层板材质：杉木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框架材质：加粗加厚铁艺支架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带制度万向轮</w:t>
            </w:r>
          </w:p>
        </w:tc>
      </w:tr>
    </w:tbl>
    <w:p>
      <w:pPr>
        <w:pStyle w:val="null3"/>
      </w:pPr>
      <w:r>
        <w:rPr>
          <w:rFonts w:ascii="仿宋_GB2312" w:hAnsi="仿宋_GB2312" w:cs="仿宋_GB2312" w:eastAsia="仿宋_GB2312"/>
        </w:rPr>
        <w:t>标的名称：移动坯架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含：1个晾坯架+10块方形晾坯板。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坯车参数：外形尺寸（长·高·宽）：≥100*120*40cm；隔层高度：18cm，可调；材质：加厚烤漆钢架；底座：带制动万向轮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坯板参数：方形晾坯板：40cm*40cm；材质：木质，E1级环保板材</w:t>
            </w:r>
          </w:p>
        </w:tc>
      </w:tr>
    </w:tbl>
    <w:p>
      <w:pPr>
        <w:pStyle w:val="null3"/>
      </w:pPr>
      <w:r>
        <w:rPr>
          <w:rFonts w:ascii="仿宋_GB2312" w:hAnsi="仿宋_GB2312" w:cs="仿宋_GB2312" w:eastAsia="仿宋_GB2312"/>
        </w:rPr>
        <w:t>标的名称：工具包1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（一）拉坯学习包（带收纳箱）</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1个便携收纳工具箱</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1套拉坯工具八件套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1个20cm密度板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1个22cm密度板</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1个陶艺吸水毛巾</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1个麂皮修口工具</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1套印花工具字母数字款</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1个弓形切泥器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1个把手工具</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1套修圆足工具两件套</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1套海绵棒五件套</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 xml:space="preserve"> 1套木制刮片五件套</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1套不锈钢丸棒四件套</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1个可折叠水桶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（二）修坯学习包（带收纳箱）</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1个便携收纳工具箱</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1套黄色海绵五件套</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1条毛巾</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 xml:space="preserve"> 1套黑皮刮刀三件套</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1套修坯八件套</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1个大号补水笔</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1套小号带齿修坯五件套</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1套不锈钢带齿三件套</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1个磨石刀</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1套不锈钢六件套</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1套环形修坯十件套</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1把跳刀</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1个磨坯棉</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1个3号钨钢修坯刀</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1个5号钨钢修坯刀</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1个中号不锈钢卡尺</w:t>
            </w:r>
          </w:p>
        </w:tc>
      </w:tr>
    </w:tbl>
    <w:p>
      <w:pPr>
        <w:pStyle w:val="null3"/>
      </w:pPr>
      <w:r>
        <w:rPr>
          <w:rFonts w:ascii="仿宋_GB2312" w:hAnsi="仿宋_GB2312" w:cs="仿宋_GB2312" w:eastAsia="仿宋_GB2312"/>
        </w:rPr>
        <w:t>标的名称：工具包2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（一）泥塑学习包（带收纳箱）</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1个便携收纳工具箱</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1套泥塑五件套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1套泥滚三件套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1个圆心切割导轨椭圆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1个不锈钢肌理刷</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1个麻布</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1个20cm铝合金转盘</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1套不锈钢打孔器五件套</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1个补水小海绵</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 xml:space="preserve"> 1个小毛巾</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1个切角器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1个切泥刀</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1个泥拍</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1个喷壶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1套塑料印花磨具33件套</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1套泥板导轨条（6根）</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（二）彩绘学习包（带收纳箱）</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1个便携收纳工具箱</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 xml:space="preserve"> 1个小号隔手板</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 xml:space="preserve"> 1个方形海绵</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1个磨坯棉</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1瓶50ml可撕胶</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1瓶50g现代青花料</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1瓶50ml桃胶</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1套海绵棒五件套</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1个10格铝制调色盘</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1个补水小海绵</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1套毛笔（八件套）</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1套釉下彩浓缩色剂12色，每瓶80g（群青、中黄、大红、天蓝、水红、黑色、墨绿、冬青、橘黄、熟褐、嫩绿、兰莲）</w:t>
            </w:r>
          </w:p>
        </w:tc>
      </w:tr>
    </w:tbl>
    <w:p>
      <w:pPr>
        <w:pStyle w:val="null3"/>
      </w:pPr>
      <w:r>
        <w:rPr>
          <w:rFonts w:ascii="仿宋_GB2312" w:hAnsi="仿宋_GB2312" w:cs="仿宋_GB2312" w:eastAsia="仿宋_GB2312"/>
        </w:rPr>
        <w:t>标的名称：施釉烧制标准工具包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1台黑色搅拌机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1个釉筛（中号）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1个釉筛（大号）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1个红色釉夹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1个施釉球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1个不锈钢喷釉壶（200mL）</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1个不锈钢喷釉壶（300mL）</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1块方形海绵</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1个石膏板（圆形直径：φ30*3cm）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1块梯形塑料刮片（白色）</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1瓶可撕胶</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10块氧化铝饼（直径10.5cm）</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1双耐高温手套</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1把铲刀（大号）</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1包独立圆锥支钉（50个）</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1组吊烧支架</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1根钨丝2毫米（1米）</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1根钨丝3毫米（1米）</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1根钨丝1毫米（1米）</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1包吊烧棒2mm（10根）</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1包吊烧棒3.5mm（10根）</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1盒进口测温环（10个/盒）</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 xml:space="preserve"> 1桶氧化铝粉（1kg/桶）</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1瓶液体硼板涂料（500mL/瓶）</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1个陶瓷AB胶</w:t>
            </w:r>
          </w:p>
        </w:tc>
      </w:tr>
    </w:tbl>
    <w:p>
      <w:pPr>
        <w:pStyle w:val="null3"/>
      </w:pPr>
      <w:r>
        <w:rPr>
          <w:rFonts w:ascii="仿宋_GB2312" w:hAnsi="仿宋_GB2312" w:cs="仿宋_GB2312" w:eastAsia="仿宋_GB2312"/>
        </w:rPr>
        <w:t>标的名称：烧制品消耗材料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（一）泥料包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2袋高白泥（20斤/袋）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1袋金珍珠（20斤/袋）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1袋灰陶泥（20斤/袋）</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1袋紫砂泥（20斤/袋）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1袋红褐精陶（20斤/袋）</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100袋高白泥（1公斤/袋）</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1套12色套装彩泥（12色/套，1公斤 /瓶）</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（二）釉料包</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2桶透明釉（10斤/桶）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套单色釉（规格：2.5kg/桶，共23色，颜色：亮黑、森林绿、中绿、奶黄、淡黄、果绿、浅豆青、咖啡、天青、天蓝、嫩绿、中国黄、水红、墨灰、桃花红、晴朗蓝、海军蓝、紫罗兰、桔红、中国红、宝石蓝、桔黄玫瑰紫）</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1套泡泡釉（规格：300mL/瓶，共5色，颜色：绿气泡、蓝气泡、黄气泡、粉红气泡、白气泡 ）</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1套豹纹釉（规格：300mL/瓶，共5色，颜色：蓝、绿、米白、黄、桔红 ）</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1套流纹釉（规格：300mL/瓶，共8色，颜色：湖光+色红、湖中仙果、花仙骨绿、花香漂红、晶草莓红、冥河幽蓝、犀牛皮、岩浆火蓝）</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1套金属釉（规格：300mL/瓶，共5色，颜色：天目、亮金属、合金、绿贝壳、飘红、流沙）</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1套结晶釉（规格：300mL/瓶，共4色，颜色：白金花、绿松针、孔雀羽、蓝松针）</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1套开片釉（规格：300mL/瓶，共9色，梦里花落、玻璃开片、 瓷青开片、沁蓝开片、青翠开片、碧绿开片、青苔开片、琥珀开片、深蓝开片）</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b/>
              </w:rPr>
              <w:t>（</w:t>
            </w:r>
            <w:r>
              <w:rPr>
                <w:rFonts w:ascii="仿宋_GB2312" w:hAnsi="仿宋_GB2312" w:cs="仿宋_GB2312" w:eastAsia="仿宋_GB2312"/>
              </w:rPr>
              <w:t>三）颜料包</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20条釉下彩6色条，每条3ml*6色</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 xml:space="preserve"> 1套釉下彩浓缩剂24色套装，每瓶80g*24色</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1套釉下卡通花纸全套（9款）</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 xml:space="preserve"> 20条釉上彩6色条，每条3ml*6色</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1套釉上彩液体12色套装，每瓶25ml*12色</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延安大学鲁迅艺术学院指定地点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延安大学鲁迅艺术学院指定地点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项目验收合格后，投标人提供等额发票给采购人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供等额发票给采购人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（1）招标文件、投标文件、澄清表/函(若有)、采购人和中标人双方签订的买卖合同。 （2）设备全部安装调试完毕可以正常开展教学使用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（1）验收依据：招标文件、投标文件、澄清表/函(若有)、采购人和中标人双方签订的买卖合同。 （2）设备全部安装调试完毕可以正常开展教学使用。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3年质保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软硬件质保1年。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3.5.1根据法律规定中标公告只公布主要标的的名称、规格型号、数量、单价，本项目主要标的为：核心产品。 3.5.2本项目落实《国务院办公厅关于在政府采购中实施本国产品标准及相关政策的通知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法定代表人参加投标的，投标文件中须附身份证；法定代表人授权他人参加投标的，投标文件中须附法定代表人授权委托书及被授权人身份证；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法定代表人参加投标的，投标文件中须附身份证；法定代表人授权他人参加投标的，投标文件中须附法定代表人授权委托书及被授权人身份证；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12其他资料.docx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11其他资料.docx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 投标产品的基本功能、产品技术参数和配置完全满足或优于招标文件要求的，得满分20分； “▲”项参数为重要指标，共12分，每负偏离一项扣1分，扣完为止。 非“▲”参数每负偏离一项扣0.21分，扣完为止。 备注：1.本项评审不包含功能演示项内容； 2.“▲”项参数以及技术参数中要求提供佐证材料的必须提供佐证材料（不限于招标文件中要求的证明材料、产品彩页或检测报告或功能截图或技术白皮书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投标人针对本项目提供具体的实施方案，方案内容至少包含：①总体实施方案；②安装调试方案；③验收方案。 满足项目实施需求，无瑕疵，计6分；每有一项缺项，扣2分，每项出现一处瑕疵扣0.5分； 存在12处及以上瑕疵或未提供，不计分。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投标人针对技术参数中标注“需提供功能演示”项进行演示，要求须以真实系统直接操作演示，其他形式（真实系统录制操作视频/图片、PPT、DEMO等模拟演示）演示的均不得分。 评审现场将使用腾讯视频会议形式与各投标人进行连线演示，请各投标人保持通信畅通，否则造成任何后果由各投标人自负。每个投标人演示时间不得超过10分钟，不包含评委提问解答时间。 演示内容如下（单项内容完全满足计2分，共3项；单项未演示或演示内容不完全满足均不得分。） （1）光固化3D打印机的模型展示与核心机构原理解析； （2）提供光固化3D打印设备操作实训，提供零件切片打印流程。以设备操作为考核点，自动评分并生成考核报告； （3）能够分析学生能力达成情况，针对学生实践成绩进行学生能力的评价并导出分析报告。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3功能演示.docx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投标人针对本项目提供供货组织安排方案，方案内容至少包含：①备货、包装及运输安排；②配送人员配备；③计划进度安排；④供货进度保障措施。 满足项目实施需求，无瑕疵，计8分；每有一项缺项，扣2分，每项出现一处瑕疵扣0.5分； 存在16处及以上瑕疵或未提供，不计分。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4供货组织安排.docx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投标人针对本项目提供质量保证方案，方案内容至少包含：①质量目标及质量保障制度；②设备使用性能及使用效果；③明确各阶段实施的质量控制措施。 满足项目实施需求，无瑕疵，计6分；每有一项缺项，扣2分，每项出现一处瑕疵扣0.5分； 存在12处及以上瑕疵或未提供，不计分。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投标人针对本项目提出具体的培训方案，方案内容至少包含：①培训时间、培训人数、培训方式；②培训内容应包括所提供产品的原理和技术性能、操作维护方法、安装调试、排除故障等各个方面。 满足项目实施需求，无瑕疵，计2分；每有一项缺项，扣1分，每项出现一处瑕疵扣0.5分； 存在4处及以上瑕疵或未提供，不计分。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投标人提供所投核心产品来源渠道证明文件（包括但不限于销售协议或代理协议或原厂授权等），提供齐全计2分；缺项或未提供不计分。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投标人针对本项目拟突发状况（如加急供货、设备故障等）提供应急处理方式及具体保障措施、现场服务支持等方案。 满足项目实施需求，无瑕疵，计3分；每有一项缺项，扣1分，每项出现一处瑕疵扣0.5分；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内容包括但不限于：①售后服务人员的配置（售后服务人员需具备现场解决问题的能力同时提供售后服务人员清单）；②售后服务响应（提供售后服务响应时间、上门维修时间承诺函及提供售后服务电话）；③定期回访计划安排；④备品备件、耗材及时更换的服务内容。 满足项目实施需求，无瑕疵，计4分；每有一项缺项，扣1分，每项出现一处瑕疵扣0.5分；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有一项为节能产品经国家认证的得0.5分，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 备注： 1、计算分数时四舍五入取小数点后两位； 2、落实采购政策：详见价格扣除。 3、本项目落实支持中小企业发展政策及对本国产品的支持政策，用扣除后的价格参与价格分计算。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 投标产品的基本功能、产品技术参数和配置完全满足或优于招标文件要求的，得满分20分； “★”项参数为废标项，负偏离按无效文件处理； “▲”参数为重要技术指标，每负偏离一项扣0.5分； 非“★”和非“▲”参数每负偏离一项扣0.08分，扣完为止。 备注：“★”及“▲”项参数以及技术参数中要求提供佐证材料的必须提供佐证材料（不限于招标文件中要求的检测报告或产品彩页或功能截图等证明材料），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投标人针对本项目提供具体的实施方案，方案内容至少包含：①总体实施方案；②安装调试方案；③验收方案。 满足项目实施需求，无瑕疵，计6分；每有一项缺项，扣2分，每项出现一处瑕疵扣0.5分； 存在12处及以上瑕疵或未提供，不计分。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投标人针对本项目提供供货组织安排方案，方案内容至少包含：①备货、包装及运输安排；②配送人员配备；③计划进度安排；④供货进度保障措施。 满足项目实施需求，无瑕疵，计8分；每有一项缺项，扣2分，每项出现一处瑕疵扣0.5分； 存在16处及以上瑕疵或未提供，不计分。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3供货组织安排.docx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投标人针对本项目提供质量保证方案，方案内容至少包含：①质量目标及质量保障制度；②设备使用性能及使用效果；③明确各阶段实施的质量控制措施。 满足项目实施需求，无瑕疵，计6分；每有一项缺项，扣2分，每项出现一处瑕疵扣0.5分； 存在12处及以上瑕疵或未提供，不计分。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投标人提供所投核心产品来源渠道证明文件（包括但不限于销售协议或代理协议或原厂授权等），提供齐全计2分；缺项或未提供不计分。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投标人针对本项目提出具体的培训方案，方案内容至少包含：①培训时间、培训人数、培训方式；②培训内容应包括所提供产品的原理和技术性能、操作维护方法、安装调试、排除故障等各个方面。 满足项目实施需求，无瑕疵，计4分；每有一项缺项，扣2分，每项出现一处瑕疵扣0.5分；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投标人针对本项目拟突发状况（如加急供货、设备故障等）提供①应急处理方式及具体保障措施；②现场服务支持等方案。 满足项目实施需求，无瑕疵，计4分；每有一项缺项，扣2分，每项出现一处瑕疵扣0.5分；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内容包括但不限于：①售后服务人员的配置（售后服务人员需具备现场解决问题的能力同时提供售后服务人员清单）；②售后服务响应（提供售后服务响应时间、上门维修时间承诺函及提供售后服务电话）；③定期回访计划安排；④备品备件、耗材及时更换的服务内容。 满足项目实施需求，无瑕疵，计4分；每有一项缺项，扣1分，每项出现一处瑕疵扣0.5分；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有一项为节能产品经国家认证的得0.5分，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 备注： 1、计算分数时四舍五入取小数点后两位； 2、落实采购政策：详见价格扣除。 3、本项目落实支持中小企业发展政策及对本国产品的支持政策，用扣除后的价格参与价格分计算。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详见附件：1技术响应与偏离表（技术参数）.docx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详见附件：3功能演示.docx</w:t>
      </w:r>
    </w:p>
    <w:p>
      <w:pPr>
        <w:pStyle w:val="null3"/>
        <w:ind w:firstLine="960"/>
      </w:pPr>
      <w:r>
        <w:rPr>
          <w:rFonts w:ascii="仿宋_GB2312" w:hAnsi="仿宋_GB2312" w:cs="仿宋_GB2312" w:eastAsia="仿宋_GB2312"/>
        </w:rPr>
        <w:t>详见附件：4供货组织安排.docx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详见附件：9应急方案.docx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详见附件：11节能环保.docx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详见附件：1技术响应与偏离表（技术参数）.docx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详见附件：3供货组织安排.docx</w:t>
      </w:r>
    </w:p>
    <w:p>
      <w:pPr>
        <w:pStyle w:val="null3"/>
        <w:ind w:firstLine="960"/>
      </w:pPr>
      <w:r>
        <w:rPr>
          <w:rFonts w:ascii="仿宋_GB2312" w:hAnsi="仿宋_GB2312" w:cs="仿宋_GB2312" w:eastAsia="仿宋_GB2312"/>
        </w:rPr>
        <w:t>详见附件：4质量保证.docx</w:t>
      </w:r>
    </w:p>
    <w:p>
      <w:pPr>
        <w:pStyle w:val="null3"/>
        <w:ind w:firstLine="960"/>
      </w:pPr>
      <w:r>
        <w:rPr>
          <w:rFonts w:ascii="仿宋_GB2312" w:hAnsi="仿宋_GB2312" w:cs="仿宋_GB2312" w:eastAsia="仿宋_GB2312"/>
        </w:rPr>
        <w:t>详见附件：5供货来源渠道证明.docx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详见附件：7应急方案.docx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详见附件：9节能环保.docx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