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版本号：SYCG-CS-2601520260523001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渠岸镇仇阳村至焦马组道路维修工程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SYCG-CS-26015</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渠岸镇仇阳村至焦马组道路维修工程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SYCG-CS-26015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渠岸镇仇阳村至焦马组道路维修工程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我县农村公路安全畅通，我站现拟实施渠岸镇仇阳村⾄焦⻢组道路维修⼯程，总规模1.3公⾥，主要实施渠岸镇仇阳村⾄焦⻢组道路维修⼯程，对现状损坏路基进⾏修复，由沥⻘混凝⼟路⾯改造为⽔泥混凝⼟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采购包1（渠岸镇仇阳村至焦马组道路维修工程）：属于专门面向中小企业采购。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2、公司资质：具备公路工程总承包三级（含三级）及以上资质。具备有效的安全生产许可证。</w:t>
      </w:r>
    </w:p>
    <w:p>
      <w:pPr>
        <w:pStyle w:val="null3"/>
      </w:pPr>
      <w:r>
        <w:rPr>
          <w:rFonts w:ascii="仿宋_GB2312" w:hAnsi="仿宋_GB2312" w:cs="仿宋_GB2312" w:eastAsia="仿宋_GB2312"/>
        </w:rPr>
        <w:t>3、项目负责人资质和专业要求：具备公路工程专业二级及以上注册建造师执业资格，并具备相应有效的安全生产考核合格证书，须在本单位注册，且未担任其他在建工程项目的项目经理（提供项目经理无在建工程承诺书）</w:t>
      </w:r>
    </w:p>
    <w:p>
      <w:pPr>
        <w:pStyle w:val="null3"/>
      </w:pPr>
      <w:r>
        <w:rPr>
          <w:rFonts w:ascii="仿宋_GB2312" w:hAnsi="仿宋_GB2312" w:cs="仿宋_GB2312" w:eastAsia="仿宋_GB2312"/>
        </w:rPr>
        <w:t>4、法定代表人授权委托书：法定代表人或负责人参加投标时，提供本人身份证，并与营业执照中法定代表人或负责人信息相符；授权代表参加投标时，提供授权书和被授权人身份证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5、财务状况报告：提供2024年度或2025年度经审计的财务报告（成立时间至提交响应文件截止时间 不足一年的可提供成立后任意时段的资产负债表），或其开标前三个月内银行出具 的资信证明，（以上两种形式的资料提供任何一种即可）</w:t>
      </w:r>
    </w:p>
    <w:p>
      <w:pPr>
        <w:pStyle w:val="null3"/>
      </w:pPr>
      <w:r>
        <w:rPr>
          <w:rFonts w:ascii="仿宋_GB2312" w:hAnsi="仿宋_GB2312" w:cs="仿宋_GB2312" w:eastAsia="仿宋_GB2312"/>
        </w:rPr>
        <w:t>6、税收缴纳证准明：提供截止开标日期以前六个月以内已缴纳的至少一个月的纳税证明或完税证明（时间以税款所属日期为准、税种须包含增值税或企业所得税），依法免税的单位应提供相关证明材料。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7、社会保障资金缴纳证明：提供截止开标日期以前六个月以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8、声明：提供具有履行本合同所必需的设备和专业技术能力的声明</w:t>
      </w:r>
    </w:p>
    <w:p>
      <w:pPr>
        <w:pStyle w:val="null3"/>
      </w:pPr>
      <w:r>
        <w:rPr>
          <w:rFonts w:ascii="仿宋_GB2312" w:hAnsi="仿宋_GB2312" w:cs="仿宋_GB2312" w:eastAsia="仿宋_GB2312"/>
        </w:rPr>
        <w:t>9、信用中国：不得为“信用中国”网站(http://www.creditchina.gov.cn)列入“失信被执行人（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p>
      <w:pPr>
        <w:pStyle w:val="null3"/>
      </w:pPr>
      <w:r>
        <w:rPr>
          <w:rFonts w:ascii="仿宋_GB2312" w:hAnsi="仿宋_GB2312" w:cs="仿宋_GB2312" w:eastAsia="仿宋_GB2312"/>
        </w:rPr>
        <w:t>10、非联合体声明：本项目不接受联合体投标，单位负责人为同一人或者存在直接控股、管理关系的不 同投标人，不得参加同一合同项下的政府采购活动（提供非联合体投标声明，包括 控股管理声明）</w:t>
      </w:r>
    </w:p>
    <w:p>
      <w:pPr>
        <w:pStyle w:val="null3"/>
      </w:pPr>
      <w:r>
        <w:rPr>
          <w:rFonts w:ascii="仿宋_GB2312" w:hAnsi="仿宋_GB2312" w:cs="仿宋_GB2312" w:eastAsia="仿宋_GB2312"/>
        </w:rPr>
        <w:t>11、3年无重大违法声明：供应商参加采购活动近3年内经营活动中没有重大违法记录声明，以及未被列入失信被执行人、重大税收违法案件当事人名单、政府采购严重违法失信行为记录名单的书面声明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采购包1：902,176.00元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本工程验收按《公路工程技术标准》（JTG B01-2024）执行，工程量、规格符合采购需求，各分项技术指标达标，质量合格；按期完工，无安全事故，竣工资料齐全规范，全部满足即为合格。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902,176.00</w:t>
      </w:r>
    </w:p>
    <w:p>
      <w:pPr>
        <w:pStyle w:val="null3"/>
      </w:pPr>
      <w:r>
        <w:rPr>
          <w:rFonts w:ascii="仿宋_GB2312" w:hAnsi="仿宋_GB2312" w:cs="仿宋_GB2312" w:eastAsia="仿宋_GB2312"/>
        </w:rPr>
        <w:t>采购包最高限价（元）: 902,176.00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902,176.00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2"/>
            </w:pPr>
            <w:r>
              <w:rPr>
                <w:rFonts w:ascii="仿宋_GB2312" w:hAnsi="仿宋_GB2312" w:cs="仿宋_GB2312" w:eastAsia="仿宋_GB2312"/>
                <w:sz w:val="24"/>
                <w:b/>
                <w:color w:val="000000"/>
              </w:rPr>
              <w:t>一、总体技术要求</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本项目所有施工内容、材料标准、工艺要求均符合国家及行业现行有效规范、规程与技术标准。</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工程整体质量达到合格标准，满足农村公路安全通行、耐久使用及日常养护需求。</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施工全过程符合安全生产、文明施工、环境保护及扬尘治理相关规定。</w:t>
            </w:r>
          </w:p>
          <w:p>
            <w:pPr>
              <w:pStyle w:val="null3"/>
              <w:jc w:val="left"/>
              <w:outlineLvl w:val="2"/>
            </w:pPr>
            <w:r>
              <w:rPr>
                <w:rFonts w:ascii="仿宋_GB2312" w:hAnsi="仿宋_GB2312" w:cs="仿宋_GB2312" w:eastAsia="仿宋_GB2312"/>
                <w:sz w:val="24"/>
                <w:b/>
                <w:color w:val="000000"/>
              </w:rPr>
              <w:t>二、水泥混凝土面层</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采用符合设计强度等级的水泥混凝土，材料性能、配合比、拌合、摊铺、振捣、养护等满足公路路面施工规范要求。</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面层具备足够强度、刚度、耐磨性及抗冻性，表面平整、密实、无裂缝、无露骨、无松散。</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几何尺寸、线形、横坡、平整度等指标符合验收标准，行车舒适、排水顺畅。</w:t>
            </w:r>
          </w:p>
          <w:p>
            <w:pPr>
              <w:pStyle w:val="null3"/>
              <w:jc w:val="left"/>
              <w:outlineLvl w:val="2"/>
            </w:pPr>
            <w:r>
              <w:rPr>
                <w:rFonts w:ascii="仿宋_GB2312" w:hAnsi="仿宋_GB2312" w:cs="仿宋_GB2312" w:eastAsia="仿宋_GB2312"/>
                <w:sz w:val="24"/>
                <w:b/>
                <w:color w:val="000000"/>
              </w:rPr>
              <w:t>三、水泥稳定土基层</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采用符合设计要求的水泥稳定土材料，水泥剂量、拌合均匀性、摊铺、碾压、养护等严格执行规范。</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基层具备规定的压实度、强度与稳定性，整体均匀密实，无松散、起皮、弹簧现象。</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基层顶面高程、宽度、平整度、横坡满足面层铺设要求。</w:t>
            </w:r>
          </w:p>
          <w:p>
            <w:pPr>
              <w:pStyle w:val="null3"/>
              <w:jc w:val="left"/>
              <w:outlineLvl w:val="2"/>
            </w:pPr>
            <w:r>
              <w:rPr>
                <w:rFonts w:ascii="仿宋_GB2312" w:hAnsi="仿宋_GB2312" w:cs="仿宋_GB2312" w:eastAsia="仿宋_GB2312"/>
                <w:sz w:val="24"/>
                <w:b/>
                <w:color w:val="000000"/>
              </w:rPr>
              <w:t>四、旧路面凿除与清运</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对原有破损路面结构进行凿除、挖除作业，施工不得损伤保留结构，基底平整顺适。</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所有废弃料全部清运至指定地点，现场清理干净，无遗留杂物，满足后续施工条件。</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拆除与运输过程采取降尘、降噪措施，符合环保与安全管理要求。</w:t>
            </w:r>
          </w:p>
          <w:p>
            <w:pPr>
              <w:pStyle w:val="null3"/>
              <w:jc w:val="left"/>
              <w:outlineLvl w:val="2"/>
            </w:pPr>
            <w:r>
              <w:rPr>
                <w:rFonts w:ascii="仿宋_GB2312" w:hAnsi="仿宋_GB2312" w:cs="仿宋_GB2312" w:eastAsia="仿宋_GB2312"/>
                <w:sz w:val="24"/>
                <w:b/>
                <w:color w:val="000000"/>
              </w:rPr>
              <w:t>五、通用质量与性能要求</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所有原材料进场须检验合格，具备有效质量证明文件。</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施工工序完整、检测项目齐全，关键工序与隐蔽工程验收合格后方可进入下一工序。</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工程完工后线形顺直、表面整洁、排水良好，满足农村公路通行与使用功能。</w:t>
            </w:r>
          </w:p>
          <w:p>
            <w:pPr>
              <w:pStyle w:val="null3"/>
              <w:jc w:val="left"/>
              <w:outlineLvl w:val="2"/>
            </w:pPr>
            <w:r>
              <w:rPr>
                <w:rFonts w:ascii="仿宋_GB2312" w:hAnsi="仿宋_GB2312" w:cs="仿宋_GB2312" w:eastAsia="仿宋_GB2312"/>
                <w:sz w:val="24"/>
                <w:b/>
                <w:color w:val="000000"/>
              </w:rPr>
              <w:t>六、验收依据</w:t>
            </w:r>
          </w:p>
          <w:p>
            <w:pPr>
              <w:pStyle w:val="null3"/>
              <w:ind w:firstLine="480"/>
              <w:jc w:val="left"/>
            </w:pPr>
            <w:r>
              <w:rPr>
                <w:rFonts w:ascii="仿宋_GB2312" w:hAnsi="仿宋_GB2312" w:cs="仿宋_GB2312" w:eastAsia="仿宋_GB2312"/>
                <w:sz w:val="24"/>
                <w:color w:val="000000"/>
              </w:rPr>
              <w:t>工程质量验收按照国家及行业现行公路工程质量检验评定标准执行，达到合格标准。</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施工、材料、工艺、质量检验及验收均执行国家及行业现行有效技术标准、规范、规程，主要包括：《公路工程技术标准》《公路路面基层施工技术细则》《公路沥青路面施工技术规范》《公路水泥混凝土路面施工技术规范》《公路养护技术规范》《公路工程质量检验评定标准》《公路交通安全设施施工技术规范》及地方关于农村公路建设、安全生产、文明施工、环境保护的相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方案.docx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具备公路工程总承包三级（含三级）及以上资质。具备有效的安全生产许可证。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具备公路工程专业二级及以上注册建造师执业资格，并具备相应有效的安全生产考核合格证书，须在本单位注册，且未担任其他在建工程项目的项目经理（提供项目经理无在建工程承诺书）</w:t>
            </w:r>
          </w:p>
        </w:tc>
        <w:tc>
          <w:tcPr>
            <w:tcW w:type="dxa" w:w="1661"/>
          </w:tcPr>
          <w:p>
            <w:pPr>
              <w:pStyle w:val="null3"/>
            </w:pPr>
            <w:r>
              <w:rPr>
                <w:rFonts w:ascii="仿宋_GB2312" w:hAnsi="仿宋_GB2312" w:cs="仿宋_GB2312" w:eastAsia="仿宋_GB2312"/>
              </w:rPr>
              <w:t>供应商应提交的相关资格证明材料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 不足一年的可提供成立后任意时段的资产负债表），或其开标前三个月内银行出具 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税收缴纳证准明</w:t>
            </w:r>
          </w:p>
        </w:tc>
        <w:tc>
          <w:tcPr>
            <w:tcW w:type="dxa" w:w="3322"/>
          </w:tcPr>
          <w:p>
            <w:pPr>
              <w:pStyle w:val="null3"/>
            </w:pPr>
            <w:r>
              <w:rPr>
                <w:rFonts w:ascii="仿宋_GB2312" w:hAnsi="仿宋_GB2312" w:cs="仿宋_GB2312" w:eastAsia="仿宋_GB2312"/>
              </w:rPr>
              <w:t>提供截止开标日期以前六个月以内已缴纳的至少一个月的纳税证明或完税证明（时间以税款所属日期为准、税种须包含增值税或企业所得税），依法免税的单位应提供相关证明材料。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提供截止开标日期以前六个月以内已缴存的至少一个月的社会保障资金缴存单据或社保机构开具的社会保险参保缴费情况证明，依法不需要缴纳社会保障资金的单位应提供相关证明材料。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 同投标人，不得参加同一合同项下的政府采购活动（提供非联合体投标声明，包括 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3年无重大违法声明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 ⑥劳动力计划及主要材料供应计划计划效评审标准：方案内容详细完整、针对性强、可行性高，符合项目实际要求。每项满分2分，缺项不得分，每项内容存在缺陷扣1分。 缺陷是指内容不合理、虽有内容但不完善、内容表述前后不一致、套用其他项目方案或 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 ②项目经理部组成③专业化项目经理部组建原则评审标准：方案内容详细完整、针对性 强、可行性高，符合项目实际要求。每项满分2分，缺项不得分，每项内容存在缺陷扣 1分。缺陷是指内容不合理、虽有内容但不完善、内容表述前后不一致、套用其他项目 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措施⑤多场景应急处置预案与演练机制评审标准：方案内容详细完整、针对性强、可行性高，符合项目实际要求。每项满分2分，缺项不得分，每项内容存在缺陷扣1分。缺 陷是指内容不合理、虽有内容但不完善、内容表述前后不一致、套用其他项目方案或与 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 工的技术措施②环境保护措施③施工区域标准化封闭管理措施④精细化扬尘与噪音防控 技术方案⑤施工废弃物分类处理与资源化利用措施评审标准：方案内容详细完整、针对性强、可行性高，符合项目实际要求。每项满分2分，缺项不得分，每项内容存在缺陷 扣1分。缺陷是指内容不合理、虽有内容但不完善、内容表述前后不一致、套用其他项 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 确保工期的技术措施③分阶段精细化施工进度计划编制评审标准：方案内容详细完整、 针对性强、可行性高，符合项目实际要求。每项满分2分，缺项不得分，每项内容存在 缺陷扣1分。缺陷是指内容不合理、虽有内容但不完善、内容表述前后不一致、套用其 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季节性施工管理防范措施</w:t>
            </w:r>
          </w:p>
        </w:tc>
        <w:tc>
          <w:tcPr>
            <w:tcW w:type="dxa" w:w="2492"/>
          </w:tcPr>
          <w:p>
            <w:pPr>
              <w:pStyle w:val="null3"/>
            </w:pPr>
            <w:r>
              <w:rPr>
                <w:rFonts w:ascii="仿宋_GB2312" w:hAnsi="仿宋_GB2312" w:cs="仿宋_GB2312" w:eastAsia="仿宋_GB2312"/>
              </w:rPr>
              <w:t>针对本项目季节性施工管理防范措施，内容包括但不限于①场地适配系统升级与动态监测措施②工序优化与季节适配作业保障机制③季节性施工管理防范综合措施评审标准：方案内容详细完整、针对性强、可行性高，符合项目实际要求。每项满分2分，缺项不得分，每项 内容存在缺陷扣1分。缺陷是指内容不合理、虽有内容但不完善、内容表述前后不一致 、套用其他项目方案或与项目需求不匹配及其他不利于项目实施的任意一种情形。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针对本项目垃圾清运方案，内容包括但不限于①清运管控与环境防护措施②垃圾清运方案评审标准：方案内容详细完整、针对性强、可行性高，符合项目实际要求。每项满 分2分，缺项不得分，每项内容存在缺陷扣1分。缺陷是指内容不合理、虽有内容但不完善、内容表述前后不一致、套用其他项目方案或与项目需求不匹配及其他不利于项目 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 ③质量保修期内的服务承诺④合理化建议评审标准：方案内容详细完整、针对性强、可行性高，符合项目实际要求。每项满分2分，缺项不得分，每项内容存在缺陷扣1分。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供应商提供近3年以来类似项目业绩；每提供1份计2分，最高得8分。业绩证明（以 合同或中标/成交通知书为准，须在磋商响应文件中附以上证明材料的扫描件加盖单位 公章，原件备查）弄虚作假者，取消其成交资格。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 他供应商的价格分统一按照下列公式计算： 磋商报价得分=（磋商基准价/最终磋商报 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