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版本号：YXZFCG-2026-0320260902002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洋县学校计算机教室项目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YXZFCG-2026-03</w:t>
      </w:r>
      <w:r>
        <w:br/>
      </w:r>
      <w:r>
        <w:br/>
      </w:r>
      <w:r>
        <w:br/>
      </w:r>
    </w:p>
    <w:p>
      <w:pPr>
        <w:pStyle w:val="null3"/>
        <w:jc w:val="center"/>
        <w:outlineLvl w:val="2"/>
      </w:pPr>
      <w:r>
        <w:rPr>
          <w:rFonts w:ascii="仿宋_GB2312" w:hAnsi="仿宋_GB2312" w:cs="仿宋_GB2312" w:eastAsia="仿宋_GB2312"/>
          <w:sz w:val="28"/>
          <w:b/>
        </w:rPr>
        <w:t>洋县教育信息技术中心</w:t>
      </w:r>
    </w:p>
    <w:p>
      <w:pPr>
        <w:pStyle w:val="null3"/>
        <w:jc w:val="center"/>
        <w:outlineLvl w:val="2"/>
      </w:pPr>
      <w:r>
        <w:rPr>
          <w:rFonts w:ascii="仿宋_GB2312" w:hAnsi="仿宋_GB2312" w:cs="仿宋_GB2312" w:eastAsia="仿宋_GB2312"/>
          <w:sz w:val="28"/>
          <w:b/>
        </w:rPr>
        <w:t>洋县政府采购中心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洋县政府采购中心</w:t>
      </w:r>
      <w:r>
        <w:rPr>
          <w:rFonts w:ascii="仿宋_GB2312" w:hAnsi="仿宋_GB2312" w:cs="仿宋_GB2312" w:eastAsia="仿宋_GB2312"/>
        </w:rPr>
        <w:t>（以下简称“代理机构”）受</w:t>
      </w:r>
      <w:r>
        <w:rPr>
          <w:rFonts w:ascii="仿宋_GB2312" w:hAnsi="仿宋_GB2312" w:cs="仿宋_GB2312" w:eastAsia="仿宋_GB2312"/>
        </w:rPr>
        <w:t>洋县教育信息技术中心</w:t>
      </w:r>
      <w:r>
        <w:rPr>
          <w:rFonts w:ascii="仿宋_GB2312" w:hAnsi="仿宋_GB2312" w:cs="仿宋_GB2312" w:eastAsia="仿宋_GB2312"/>
        </w:rPr>
        <w:t>委托，拟对</w:t>
      </w:r>
      <w:r>
        <w:rPr>
          <w:rFonts w:ascii="仿宋_GB2312" w:hAnsi="仿宋_GB2312" w:cs="仿宋_GB2312" w:eastAsia="仿宋_GB2312"/>
        </w:rPr>
        <w:t>洋县学校计算机教室项目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YXZFCG-2026-03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洋县学校计算机教室项目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学校计算机教室建设，采购学校计算机教室18间，共有台式计算机918台，配套操作系统、办公软件、管理软件及网络设备、音响系统、稳压电源、机房专用空调、桌椅、静电地板等计算机教室建设相关附属配套设施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3、法定代表人证明书及授权书：法定代表人(负责人)委托授权书法定代表人(负责人)委托代理人参加征集活动时，应提供法定代表人(负责人)委托授权书；法定代表人(负责人)亲自参加征集活动时，应提供法定代表人(负责人)身份证复印件。如法人的分支机构参与征集活动的，除提供《法定代表人授权委托书》外还须同时提供法人给分支机构出具的授权书，并加盖公章。法人只能授权一家分支机构参与征集活动，且不能与分支机构同时参与征集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洋县教育信息技术中心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陕西省洋县唐塔路31号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洋县教育信息技术中心经办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0916-8317176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洋县政府采购中心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洋县唐塔北路51号洋县财政局206室政府采购中心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0916-2986238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台式计算机、液晶显示器、空调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台式计算机、液晶显示器、空调、电脑桌凳（椅）</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洋县教育信息技术中心</w:t>
      </w:r>
      <w:r>
        <w:rPr>
          <w:rFonts w:ascii="仿宋_GB2312" w:hAnsi="仿宋_GB2312" w:cs="仿宋_GB2312" w:eastAsia="仿宋_GB2312"/>
        </w:rPr>
        <w:t>和</w:t>
      </w:r>
      <w:r>
        <w:rPr>
          <w:rFonts w:ascii="仿宋_GB2312" w:hAnsi="仿宋_GB2312" w:cs="仿宋_GB2312" w:eastAsia="仿宋_GB2312"/>
        </w:rPr>
        <w:t>洋县政府采购中心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洋县教育信息技术中心</w:t>
      </w:r>
      <w:r>
        <w:rPr>
          <w:rFonts w:ascii="仿宋_GB2312" w:hAnsi="仿宋_GB2312" w:cs="仿宋_GB2312" w:eastAsia="仿宋_GB2312"/>
        </w:rPr>
        <w:t>负责解释。除上述招标文件内容，其他内容由</w:t>
      </w:r>
      <w:r>
        <w:rPr>
          <w:rFonts w:ascii="仿宋_GB2312" w:hAnsi="仿宋_GB2312" w:cs="仿宋_GB2312" w:eastAsia="仿宋_GB2312"/>
        </w:rPr>
        <w:t>洋县政府采购中心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洋县教育信息技术中心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洋县政府采购中心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（4）符合招标文件及投标文件承诺中采购人认可的合理最佳配置、参数规格及各项要求；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洋县教育信息技术中心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洋县政府采购中心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洋县政府采购中心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联系人：洋县教育信息技术中心</w:t>
      </w:r>
    </w:p>
    <w:p>
      <w:pPr>
        <w:pStyle w:val="null3"/>
      </w:pPr>
      <w:r>
        <w:rPr>
          <w:rFonts w:ascii="仿宋_GB2312" w:hAnsi="仿宋_GB2312" w:cs="仿宋_GB2312" w:eastAsia="仿宋_GB2312"/>
        </w:rPr>
        <w:t>联系电话：0916-8317176</w:t>
      </w:r>
    </w:p>
    <w:p>
      <w:pPr>
        <w:pStyle w:val="null3"/>
      </w:pPr>
      <w:r>
        <w:rPr>
          <w:rFonts w:ascii="仿宋_GB2312" w:hAnsi="仿宋_GB2312" w:cs="仿宋_GB2312" w:eastAsia="仿宋_GB2312"/>
        </w:rPr>
        <w:t>地址：陕西省洋县唐塔路31号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洋县学校计算机教室建设，共建设学校计算机教室18间，配置完全相同，每间教室详细配置参数详见技术参数表，数量如下： 1.学生计算机：50台； 2.教师计算机：1台； 3.防静电地板：70平米±10%； 4.管理软件：18套，每套50节点； 5.交换机：2台； 6.路由器：1台； 7.学生桌凳：按50台学生机实际数量配备； 8.教师桌椅：1套； 9.音响：1套； 10.稳压电源：1台； 11.防雷模块：1套； 12.空调：2台； 13.窗帘：1套（最多六幅，按实际配备）； 14.软件：操作系统软件51套； 15.辅材：按实际需求配备； 16.施工：按规范完成施工。</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5,940,000.00</w:t>
      </w:r>
    </w:p>
    <w:p>
      <w:pPr>
        <w:pStyle w:val="null3"/>
      </w:pPr>
      <w:r>
        <w:rPr>
          <w:rFonts w:ascii="仿宋_GB2312" w:hAnsi="仿宋_GB2312" w:cs="仿宋_GB2312" w:eastAsia="仿宋_GB2312"/>
        </w:rPr>
        <w:t>采购包最高限价（元）: 5,940,000.00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计算机网络教室18间</w:t>
            </w:r>
          </w:p>
        </w:tc>
        <w:tc>
          <w:tcPr>
            <w:tcW w:type="dxa" w:w="755"/>
          </w:tcPr>
          <w:p>
            <w:pPr>
              <w:pStyle w:val="null3"/>
              <w:jc w:val="right"/>
            </w:pPr>
            <w:r>
              <w:rPr>
                <w:rFonts w:ascii="仿宋_GB2312" w:hAnsi="仿宋_GB2312" w:cs="仿宋_GB2312" w:eastAsia="仿宋_GB2312"/>
              </w:rPr>
              <w:t>18.00</w:t>
            </w:r>
          </w:p>
        </w:tc>
        <w:tc>
          <w:tcPr>
            <w:tcW w:type="dxa" w:w="755"/>
          </w:tcPr>
          <w:p>
            <w:pPr>
              <w:pStyle w:val="null3"/>
              <w:jc w:val="right"/>
            </w:pPr>
            <w:r>
              <w:rPr>
                <w:rFonts w:ascii="仿宋_GB2312" w:hAnsi="仿宋_GB2312" w:cs="仿宋_GB2312" w:eastAsia="仿宋_GB2312"/>
              </w:rPr>
              <w:t>5,940,000.00</w:t>
            </w:r>
          </w:p>
        </w:tc>
        <w:tc>
          <w:tcPr>
            <w:tcW w:type="dxa" w:w="755"/>
          </w:tcPr>
          <w:p>
            <w:pPr>
              <w:pStyle w:val="null3"/>
            </w:pPr>
            <w:r>
              <w:rPr>
                <w:rFonts w:ascii="仿宋_GB2312" w:hAnsi="仿宋_GB2312" w:cs="仿宋_GB2312" w:eastAsia="仿宋_GB2312"/>
              </w:rPr>
              <w:t>间</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标的名称：计算机网络教室18间</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b/>
              </w:rPr>
              <w:t>学生机：（核心产品）</w:t>
            </w:r>
            <w:r>
              <w:br/>
            </w:r>
            <w:r>
              <w:rPr>
                <w:rFonts w:ascii="仿宋_GB2312" w:hAnsi="仿宋_GB2312" w:cs="仿宋_GB2312" w:eastAsia="仿宋_GB2312"/>
                <w:sz w:val="18"/>
              </w:rPr>
              <w:t>★1.处理器：X86架构处理器，物理核心数≥8核，基础主频≥3.0GHz。【需求说明】本设备用于陕西省初中信息技术学业水平统考上机考试，考试软件基于Windows平台开发，ARM架构处理器无法兼容业务系统；本项目经费为财政性资金，依据《政府采购法》第十条“政府采购应当采购本国货物”之规定，本项目不接受进口产品参与投标，本项目所有终端硬件核心运算芯片、预装操作系统须为国内企业独立研发、国内厂区完成生产制造。</w:t>
            </w:r>
            <w:r>
              <w:br/>
            </w:r>
            <w:r>
              <w:rPr>
                <w:rFonts w:ascii="仿宋_GB2312" w:hAnsi="仿宋_GB2312" w:cs="仿宋_GB2312" w:eastAsia="仿宋_GB2312"/>
                <w:sz w:val="18"/>
              </w:rPr>
              <w:t>★2.内存：≥16GBDDR4UDIMM内存，≥2个内存插槽；</w:t>
            </w:r>
            <w:r>
              <w:br/>
            </w:r>
            <w:r>
              <w:rPr>
                <w:rFonts w:ascii="仿宋_GB2312" w:hAnsi="仿宋_GB2312" w:cs="仿宋_GB2312" w:eastAsia="仿宋_GB2312"/>
                <w:sz w:val="18"/>
              </w:rPr>
              <w:t>▲3.显卡：集成显卡；</w:t>
            </w:r>
            <w:r>
              <w:br/>
            </w:r>
            <w:r>
              <w:rPr>
                <w:rFonts w:ascii="仿宋_GB2312" w:hAnsi="仿宋_GB2312" w:cs="仿宋_GB2312" w:eastAsia="仿宋_GB2312"/>
                <w:sz w:val="18"/>
              </w:rPr>
              <w:t>▲4.硬盘：≥256GBM.2接口NVME协议SSD；</w:t>
            </w:r>
            <w:r>
              <w:br/>
            </w:r>
            <w:r>
              <w:rPr>
                <w:rFonts w:ascii="仿宋_GB2312" w:hAnsi="仿宋_GB2312" w:cs="仿宋_GB2312" w:eastAsia="仿宋_GB2312"/>
                <w:sz w:val="18"/>
              </w:rPr>
              <w:t>5.网络：1个RJ4510/100/1000自适应以太网口；</w:t>
            </w:r>
            <w:r>
              <w:br/>
            </w:r>
            <w:r>
              <w:rPr>
                <w:rFonts w:ascii="仿宋_GB2312" w:hAnsi="仿宋_GB2312" w:cs="仿宋_GB2312" w:eastAsia="仿宋_GB2312"/>
                <w:sz w:val="18"/>
              </w:rPr>
              <w:t>6.接口扩展：PCIE插槽数量≥2个；前置USB3.0接口≥2个；后置USB3.0接口≥2个，USB2.0接口≥2个；音频接口：麦克风1个，耳机1个；</w:t>
            </w:r>
            <w:r>
              <w:br/>
            </w:r>
            <w:r>
              <w:rPr>
                <w:rFonts w:ascii="仿宋_GB2312" w:hAnsi="仿宋_GB2312" w:cs="仿宋_GB2312" w:eastAsia="仿宋_GB2312"/>
                <w:sz w:val="18"/>
              </w:rPr>
              <w:t>7.机箱：机箱支持免工具拆装维护，无需工具可拆卸侧板；</w:t>
            </w:r>
            <w:r>
              <w:br/>
            </w:r>
            <w:r>
              <w:rPr>
                <w:rFonts w:ascii="仿宋_GB2312" w:hAnsi="仿宋_GB2312" w:cs="仿宋_GB2312" w:eastAsia="仿宋_GB2312"/>
                <w:sz w:val="18"/>
              </w:rPr>
              <w:t>▲8.显示器：≥23.8寸LED显示器，分辨率≥1920*1080，刷新频率≥75Hz，对比度≥3000:1，输入接口VGA+HDMI；</w:t>
            </w:r>
            <w:r>
              <w:br/>
            </w:r>
            <w:r>
              <w:rPr>
                <w:rFonts w:ascii="仿宋_GB2312" w:hAnsi="仿宋_GB2312" w:cs="仿宋_GB2312" w:eastAsia="仿宋_GB2312"/>
                <w:sz w:val="18"/>
              </w:rPr>
              <w:t>9.键盘鼠标：标配USB有线键盘、USB有线光电鼠标，配备鼠标垫；</w:t>
            </w:r>
            <w:r>
              <w:br/>
            </w:r>
            <w:r>
              <w:rPr>
                <w:rFonts w:ascii="仿宋_GB2312" w:hAnsi="仿宋_GB2312" w:cs="仿宋_GB2312" w:eastAsia="仿宋_GB2312"/>
                <w:sz w:val="18"/>
              </w:rPr>
              <w:t>10.耳麦：扬声器发声单元直径≥40mm；内置双声道USB数字声卡，USB2.0接口；线缆长度≥2.5m，线材配备抗干扰磁环；配备可多角度弯折拾音麦克风，麦克风具备单向拾音降噪功能；</w:t>
            </w:r>
            <w:r>
              <w:br/>
            </w:r>
            <w:r>
              <w:rPr>
                <w:rFonts w:ascii="仿宋_GB2312" w:hAnsi="仿宋_GB2312" w:cs="仿宋_GB2312" w:eastAsia="仿宋_GB2312"/>
                <w:sz w:val="18"/>
              </w:rPr>
              <w:t>★11.产品合规性（实质性要求）所投台式计算机主机和液晶显示屏均需具备有效的国家节能产品认证证书，无上述认证则所投产品无效；</w:t>
            </w:r>
            <w:r>
              <w:br/>
            </w:r>
            <w:r>
              <w:rPr>
                <w:rFonts w:ascii="仿宋_GB2312" w:hAnsi="仿宋_GB2312" w:cs="仿宋_GB2312" w:eastAsia="仿宋_GB2312"/>
                <w:sz w:val="18"/>
              </w:rPr>
              <w:t>▲12.其它认证：以下认证不作为废标项，为赋分项，每缺少一项，扣2分：①静音舒适性：依据国家标准测试，设备空闲状态声功率级≤2.8Bel；②电磁兼容性：设备电源端口浪涌（冲击）抗扰度符合国家标准共模±2kV，差模±1kV；③网络防雷模块：随主机提供防雷模块，满足国家标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18"/>
              </w:rPr>
              <w:t>教师机：（核心产品）</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rPr>
              <w:t>1.处理器：X86架构处理器，物理核心数≥8核，基础主频≥3.0GHz。</w:t>
            </w:r>
          </w:p>
          <w:p>
            <w:pPr>
              <w:pStyle w:val="null3"/>
              <w:jc w:val="left"/>
            </w:pPr>
            <w:r>
              <w:rPr>
                <w:rFonts w:ascii="仿宋_GB2312" w:hAnsi="仿宋_GB2312" w:cs="仿宋_GB2312" w:eastAsia="仿宋_GB2312"/>
                <w:sz w:val="18"/>
              </w:rPr>
              <w:t>【需求说明】本设备用于陕西省初中信息技术学业水平统考上机考试，考试软件基于</w:t>
            </w:r>
            <w:r>
              <w:rPr>
                <w:rFonts w:ascii="仿宋_GB2312" w:hAnsi="仿宋_GB2312" w:cs="仿宋_GB2312" w:eastAsia="仿宋_GB2312"/>
                <w:sz w:val="18"/>
              </w:rPr>
              <w:t>Windows平台开发，ARM架构处理器无法兼容业务系统；本项目经费为财政性资金，依据《政府采购法》第十条“政府采购应当采购本国货物”之规定，本项目不接受进口产品参与投标，本项目所有终端硬件核心运算芯片、预装操作系统须为国内企业独立研发、国内厂区完成生产制造。</w:t>
            </w:r>
          </w:p>
          <w:p>
            <w:pPr>
              <w:pStyle w:val="null3"/>
              <w:jc w:val="left"/>
            </w:pPr>
            <w:r>
              <w:rPr>
                <w:rFonts w:ascii="仿宋_GB2312" w:hAnsi="仿宋_GB2312" w:cs="仿宋_GB2312" w:eastAsia="仿宋_GB2312"/>
                <w:sz w:val="18"/>
                <w:b/>
              </w:rPr>
              <w:t>★</w:t>
            </w:r>
            <w:r>
              <w:rPr>
                <w:rFonts w:ascii="仿宋_GB2312" w:hAnsi="仿宋_GB2312" w:cs="仿宋_GB2312" w:eastAsia="仿宋_GB2312"/>
                <w:sz w:val="18"/>
              </w:rPr>
              <w:t>2.内存：≥16GBDDR4UDIMM内存，≥2个内存插槽；</w:t>
            </w:r>
          </w:p>
          <w:p>
            <w:pPr>
              <w:pStyle w:val="null3"/>
              <w:jc w:val="left"/>
            </w:pPr>
            <w:r>
              <w:rPr>
                <w:rFonts w:ascii="仿宋_GB2312" w:hAnsi="仿宋_GB2312" w:cs="仿宋_GB2312" w:eastAsia="仿宋_GB2312"/>
                <w:sz w:val="18"/>
              </w:rPr>
              <w:t>▲3.显卡：独立显卡，显存≥2G；</w:t>
            </w:r>
          </w:p>
          <w:p>
            <w:pPr>
              <w:pStyle w:val="null3"/>
              <w:jc w:val="left"/>
            </w:pPr>
            <w:r>
              <w:rPr>
                <w:rFonts w:ascii="仿宋_GB2312" w:hAnsi="仿宋_GB2312" w:cs="仿宋_GB2312" w:eastAsia="仿宋_GB2312"/>
                <w:sz w:val="18"/>
              </w:rPr>
              <w:t>▲4.硬盘：≥512GBM.2接口NVME协议SSD；</w:t>
            </w:r>
          </w:p>
          <w:p>
            <w:pPr>
              <w:pStyle w:val="null3"/>
              <w:jc w:val="left"/>
            </w:pPr>
            <w:r>
              <w:rPr>
                <w:rFonts w:ascii="仿宋_GB2312" w:hAnsi="仿宋_GB2312" w:cs="仿宋_GB2312" w:eastAsia="仿宋_GB2312"/>
                <w:sz w:val="18"/>
              </w:rPr>
              <w:t>5.网络：1个RJ4510/100/1000自适应以太网口；</w:t>
            </w:r>
          </w:p>
          <w:p>
            <w:pPr>
              <w:pStyle w:val="null3"/>
              <w:jc w:val="left"/>
            </w:pPr>
            <w:r>
              <w:rPr>
                <w:rFonts w:ascii="仿宋_GB2312" w:hAnsi="仿宋_GB2312" w:cs="仿宋_GB2312" w:eastAsia="仿宋_GB2312"/>
                <w:sz w:val="18"/>
              </w:rPr>
              <w:t>6.接口扩展：PCIE插槽数量≥2个；前置USB3.0接口≥2个；后置USB3.0接口≥2个，USB2.0接口≥2个；音频接口：麦克风1个，耳机1个；</w:t>
            </w:r>
          </w:p>
          <w:p>
            <w:pPr>
              <w:pStyle w:val="null3"/>
              <w:jc w:val="left"/>
            </w:pPr>
            <w:r>
              <w:rPr>
                <w:rFonts w:ascii="仿宋_GB2312" w:hAnsi="仿宋_GB2312" w:cs="仿宋_GB2312" w:eastAsia="仿宋_GB2312"/>
                <w:sz w:val="18"/>
              </w:rPr>
              <w:t>7.机箱：机箱支持免工具拆装维护，无需工具可拆卸侧板；</w:t>
            </w:r>
          </w:p>
          <w:p>
            <w:pPr>
              <w:pStyle w:val="null3"/>
              <w:jc w:val="left"/>
            </w:pPr>
            <w:r>
              <w:rPr>
                <w:rFonts w:ascii="仿宋_GB2312" w:hAnsi="仿宋_GB2312" w:cs="仿宋_GB2312" w:eastAsia="仿宋_GB2312"/>
                <w:sz w:val="18"/>
              </w:rPr>
              <w:t>▲8.显示器：≥23.8寸LED显示器，分辨率≥1920*1080，刷新频率≥75Hz，对比度≥3000:1，输入接口VGA+HDMI；</w:t>
            </w:r>
          </w:p>
          <w:p>
            <w:pPr>
              <w:pStyle w:val="null3"/>
              <w:jc w:val="left"/>
            </w:pPr>
            <w:r>
              <w:rPr>
                <w:rFonts w:ascii="仿宋_GB2312" w:hAnsi="仿宋_GB2312" w:cs="仿宋_GB2312" w:eastAsia="仿宋_GB2312"/>
                <w:sz w:val="18"/>
              </w:rPr>
              <w:t>9.键盘鼠标：标配USB有线键盘、USB有线光电鼠标，配备鼠标垫；</w:t>
            </w:r>
          </w:p>
          <w:p>
            <w:pPr>
              <w:pStyle w:val="null3"/>
              <w:jc w:val="left"/>
            </w:pPr>
            <w:r>
              <w:rPr>
                <w:rFonts w:ascii="仿宋_GB2312" w:hAnsi="仿宋_GB2312" w:cs="仿宋_GB2312" w:eastAsia="仿宋_GB2312"/>
                <w:sz w:val="18"/>
              </w:rPr>
              <w:t>10.耳麦：扬声器发声单元直径≥40mm；内置双声道USB数字声卡，USB2.0接口；线缆长度≥2.5m，线材配备抗干扰磁环；配备可多角度弯折拾音麦克风，麦克风具备单向拾音降噪功能；</w:t>
            </w:r>
          </w:p>
          <w:p>
            <w:pPr>
              <w:pStyle w:val="null3"/>
              <w:jc w:val="left"/>
            </w:pPr>
            <w:r>
              <w:rPr>
                <w:rFonts w:ascii="仿宋_GB2312" w:hAnsi="仿宋_GB2312" w:cs="仿宋_GB2312" w:eastAsia="仿宋_GB2312"/>
                <w:sz w:val="18"/>
              </w:rPr>
              <w:t>★11.产品合规性（实质性要求）所投台式计算机主机整机和液晶显示屏均需具备有效的国家节能产品认证证书，无上述认证则所投产品无效；</w:t>
            </w:r>
          </w:p>
          <w:p>
            <w:pPr>
              <w:pStyle w:val="null3"/>
              <w:jc w:val="left"/>
            </w:pPr>
            <w:r>
              <w:rPr>
                <w:rFonts w:ascii="仿宋_GB2312" w:hAnsi="仿宋_GB2312" w:cs="仿宋_GB2312" w:eastAsia="仿宋_GB2312"/>
                <w:sz w:val="18"/>
              </w:rPr>
              <w:t>▲12.其它认证：以下认证不作为废标项，为赋分项，每缺少一项，扣2分：</w:t>
            </w:r>
          </w:p>
          <w:p>
            <w:pPr>
              <w:pStyle w:val="null3"/>
            </w:pPr>
            <w:r>
              <w:rPr>
                <w:rFonts w:ascii="仿宋_GB2312" w:hAnsi="仿宋_GB2312" w:cs="仿宋_GB2312" w:eastAsia="仿宋_GB2312"/>
                <w:sz w:val="18"/>
              </w:rPr>
              <w:t>①静音舒适性：依据国家标准测试，设备空闲状态声功率级≤2.8Bel；②电磁兼容性：设备电源端口浪涌（冲击）抗扰度符合国家标准共模±2kV，差模±1kV；③网络防雷模块：随主机提供防雷模块，满足国家标准</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18"/>
              </w:rPr>
              <w:t>防静电地板：</w:t>
            </w:r>
            <w:r>
              <w:br/>
            </w:r>
            <w:r>
              <w:rPr>
                <w:rFonts w:ascii="仿宋_GB2312" w:hAnsi="仿宋_GB2312" w:cs="仿宋_GB2312" w:eastAsia="仿宋_GB2312"/>
                <w:sz w:val="18"/>
              </w:rPr>
              <w:t xml:space="preserve"> 规格600x600x35mm，全钢PVC贴面抗静电地板，地板表面粘贴抗静电pvc贴面，厚度≥1毫米。地板架空高度约30cm。地板内腔内填充发泡水泥，每平方米自重不超过40KG。支承系统横梁壁厚≥1.0mm，中柱支撑管壁厚≥1.5mm,防锈处理，每只支架轴向载荷大于20KN。产品应符合国家相关标准（GB6650-86《计算机房活动地板技术条件》；SJ/T10796-2001《防静电活动地板通用规范》）。每间机房按照70平方米设计，按照不同学校教室不同，允许±10%面积误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18"/>
              </w:rPr>
              <w:t>机房管理软件：</w:t>
            </w:r>
          </w:p>
          <w:p>
            <w:pPr>
              <w:pStyle w:val="null3"/>
              <w:jc w:val="left"/>
            </w:pPr>
            <w:r>
              <w:rPr>
                <w:rFonts w:ascii="仿宋_GB2312" w:hAnsi="仿宋_GB2312" w:cs="仿宋_GB2312" w:eastAsia="仿宋_GB2312"/>
                <w:sz w:val="18"/>
              </w:rPr>
              <w:t>★1.同时兼容Windows操作系统及银河麒麟、统信等国产桌面操作系统；</w:t>
            </w:r>
          </w:p>
          <w:p>
            <w:pPr>
              <w:pStyle w:val="null3"/>
              <w:jc w:val="left"/>
            </w:pPr>
            <w:r>
              <w:rPr>
                <w:rFonts w:ascii="仿宋_GB2312" w:hAnsi="仿宋_GB2312" w:cs="仿宋_GB2312" w:eastAsia="仿宋_GB2312"/>
                <w:sz w:val="18"/>
              </w:rPr>
              <w:t>2.支持屏幕广播：支持将教师机的屏幕和声音广播给单一、部分或全体学生机，支持全屏或窗口方式。</w:t>
            </w:r>
          </w:p>
          <w:p>
            <w:pPr>
              <w:pStyle w:val="null3"/>
              <w:jc w:val="left"/>
            </w:pPr>
            <w:r>
              <w:rPr>
                <w:rFonts w:ascii="仿宋_GB2312" w:hAnsi="仿宋_GB2312" w:cs="仿宋_GB2312" w:eastAsia="仿宋_GB2312"/>
                <w:sz w:val="18"/>
              </w:rPr>
              <w:t>3.支持学生演示：支持教师选定一台学生机作为示范进行演示。</w:t>
            </w:r>
          </w:p>
          <w:p>
            <w:pPr>
              <w:pStyle w:val="null3"/>
              <w:jc w:val="left"/>
            </w:pPr>
            <w:r>
              <w:rPr>
                <w:rFonts w:ascii="仿宋_GB2312" w:hAnsi="仿宋_GB2312" w:cs="仿宋_GB2312" w:eastAsia="仿宋_GB2312"/>
                <w:sz w:val="18"/>
              </w:rPr>
              <w:t>4.支持网络影院实现教师机播放的视频同步无延时广播到学生机，支持720p、1080p、4K高清视频。</w:t>
            </w:r>
          </w:p>
          <w:p>
            <w:pPr>
              <w:pStyle w:val="null3"/>
              <w:jc w:val="left"/>
            </w:pPr>
            <w:r>
              <w:rPr>
                <w:rFonts w:ascii="仿宋_GB2312" w:hAnsi="仿宋_GB2312" w:cs="仿宋_GB2312" w:eastAsia="仿宋_GB2312"/>
                <w:sz w:val="18"/>
              </w:rPr>
              <w:t>5.支持多种文件交互功能，包含文件分发、文件提交、文件收集、文件共享等功能：支持对正在发送的文件进行暂停、撤销、断线续传，支持对已发送的文件进行删除和清空学生端文件夹。支持通过课件点播实现教师上传文件供学生查看和下载；支持通过共享中心实现教师和学生上传文件，供全体师生查看和下载。</w:t>
            </w:r>
          </w:p>
          <w:p>
            <w:pPr>
              <w:pStyle w:val="null3"/>
              <w:jc w:val="left"/>
            </w:pPr>
            <w:r>
              <w:rPr>
                <w:rFonts w:ascii="仿宋_GB2312" w:hAnsi="仿宋_GB2312" w:cs="仿宋_GB2312" w:eastAsia="仿宋_GB2312"/>
                <w:sz w:val="18"/>
              </w:rPr>
              <w:t>6.支持教师发起分组讨论或主题讨论，支持教师发送文字、画布、图片、文件等与学生进行讨论。</w:t>
            </w:r>
          </w:p>
          <w:p>
            <w:pPr>
              <w:pStyle w:val="null3"/>
              <w:jc w:val="left"/>
            </w:pPr>
            <w:r>
              <w:rPr>
                <w:rFonts w:ascii="仿宋_GB2312" w:hAnsi="仿宋_GB2312" w:cs="仿宋_GB2312" w:eastAsia="仿宋_GB2312"/>
                <w:sz w:val="18"/>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p>
          <w:p>
            <w:pPr>
              <w:pStyle w:val="null3"/>
              <w:jc w:val="left"/>
            </w:pPr>
            <w:r>
              <w:rPr>
                <w:rFonts w:ascii="仿宋_GB2312" w:hAnsi="仿宋_GB2312" w:cs="仿宋_GB2312" w:eastAsia="仿宋_GB2312"/>
                <w:sz w:val="18"/>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p>
          <w:p>
            <w:pPr>
              <w:pStyle w:val="null3"/>
              <w:jc w:val="left"/>
            </w:pPr>
            <w:r>
              <w:rPr>
                <w:rFonts w:ascii="仿宋_GB2312" w:hAnsi="仿宋_GB2312" w:cs="仿宋_GB2312" w:eastAsia="仿宋_GB2312"/>
                <w:sz w:val="18"/>
              </w:rPr>
              <w:t>9.支持考试：支持对全体学生发起统一的考试，支持添加ABCD卷对不同组别的学生发送不同试卷。支持教师实时查看学生答题进度。</w:t>
            </w:r>
          </w:p>
          <w:p>
            <w:pPr>
              <w:pStyle w:val="null3"/>
              <w:jc w:val="left"/>
            </w:pPr>
            <w:r>
              <w:rPr>
                <w:rFonts w:ascii="仿宋_GB2312" w:hAnsi="仿宋_GB2312" w:cs="仿宋_GB2312" w:eastAsia="仿宋_GB2312"/>
                <w:sz w:val="18"/>
              </w:rPr>
              <w:t>10.支持全体遥控：支持教师端实时遥控所有学生机的操作，可同时执行应用程序、打开网页、安装卸载应用、绘图、代码编写等。</w:t>
            </w:r>
          </w:p>
          <w:p>
            <w:pPr>
              <w:pStyle w:val="null3"/>
              <w:jc w:val="left"/>
            </w:pPr>
            <w:r>
              <w:rPr>
                <w:rFonts w:ascii="仿宋_GB2312" w:hAnsi="仿宋_GB2312" w:cs="仿宋_GB2312" w:eastAsia="仿宋_GB2312"/>
                <w:sz w:val="18"/>
              </w:rPr>
              <w:t>11.支持各种上机策略，包括U盘限制、网页限制、程序限制等，U盘访问权限支持全部开放、只读、完全阻止三种策略。</w:t>
            </w:r>
          </w:p>
          <w:p>
            <w:pPr>
              <w:pStyle w:val="null3"/>
              <w:jc w:val="left"/>
            </w:pPr>
            <w:r>
              <w:rPr>
                <w:rFonts w:ascii="仿宋_GB2312" w:hAnsi="仿宋_GB2312" w:cs="仿宋_GB2312" w:eastAsia="仿宋_GB2312"/>
                <w:sz w:val="18"/>
              </w:rPr>
              <w:t>12.支持教师远程查看学生机登录名、IP地址、系统类型、MAC地址、磁盘空间、进程、CPU使用情况、内存使用情况、网络利用率等信息。</w:t>
            </w:r>
          </w:p>
          <w:p>
            <w:pPr>
              <w:pStyle w:val="null3"/>
              <w:jc w:val="left"/>
            </w:pPr>
            <w:r>
              <w:rPr>
                <w:rFonts w:ascii="仿宋_GB2312" w:hAnsi="仿宋_GB2312" w:cs="仿宋_GB2312" w:eastAsia="仿宋_GB2312"/>
                <w:sz w:val="18"/>
              </w:rPr>
              <w:t>▲13.支持控制中心面板，支持通过控制中心快速一键执行黑屏安静、联网权限、举手权限、发送消息、发送文件、键鼠、U盘等使用权限的开关控制，支持调整扬声器音量、麦克风音量。</w:t>
            </w:r>
          </w:p>
          <w:p>
            <w:pPr>
              <w:pStyle w:val="null3"/>
              <w:jc w:val="left"/>
            </w:pPr>
            <w:r>
              <w:rPr>
                <w:rFonts w:ascii="仿宋_GB2312" w:hAnsi="仿宋_GB2312" w:cs="仿宋_GB2312" w:eastAsia="仿宋_GB2312"/>
                <w:sz w:val="18"/>
              </w:rPr>
              <w:t>14.支持远程命令：支持教师进行远程开机、关机、重启、注销、自定义命令等操作。</w:t>
            </w:r>
          </w:p>
          <w:p>
            <w:pPr>
              <w:pStyle w:val="null3"/>
              <w:jc w:val="left"/>
            </w:pPr>
            <w:r>
              <w:rPr>
                <w:rFonts w:ascii="仿宋_GB2312" w:hAnsi="仿宋_GB2312" w:cs="仿宋_GB2312" w:eastAsia="仿宋_GB2312"/>
                <w:sz w:val="18"/>
              </w:rPr>
              <w:t>15.支持远程设置学生端密码、是否显示学生端浮动工具栏、断网锁屏、远程消息、学生举手、学生签到、屏幕监看等功能。</w:t>
            </w:r>
          </w:p>
          <w:p>
            <w:pPr>
              <w:pStyle w:val="null3"/>
              <w:jc w:val="left"/>
            </w:pPr>
            <w:r>
              <w:rPr>
                <w:rFonts w:ascii="仿宋_GB2312" w:hAnsi="仿宋_GB2312" w:cs="仿宋_GB2312" w:eastAsia="仿宋_GB2312"/>
                <w:sz w:val="18"/>
              </w:rPr>
              <w:t>★16.支持机房运维功能，该功能纯软件设计，免拆机安装硬件、免重新构建分区，一键安装部署，支持Windows全系列操作系统和主流国产操作系统，支持一台电脑同时安装Windows全系列和国产多个操作系统。</w:t>
            </w:r>
          </w:p>
          <w:p>
            <w:pPr>
              <w:pStyle w:val="null3"/>
              <w:jc w:val="left"/>
            </w:pPr>
            <w:r>
              <w:rPr>
                <w:rFonts w:ascii="仿宋_GB2312" w:hAnsi="仿宋_GB2312" w:cs="仿宋_GB2312" w:eastAsia="仿宋_GB2312"/>
                <w:sz w:val="18"/>
              </w:rPr>
              <w:t>▲17.支持网络对拷，智能识别增量数据进行差异对拷，支持网络同传、增量差异同传，具备断电续传；接收端支持网卡、U盘、硬盘多种启动方式执行同传；具备同传限速、智能排序机制；支持跨网段批量部署。</w:t>
            </w:r>
          </w:p>
          <w:p>
            <w:pPr>
              <w:pStyle w:val="null3"/>
              <w:jc w:val="left"/>
            </w:pPr>
            <w:r>
              <w:rPr>
                <w:rFonts w:ascii="仿宋_GB2312" w:hAnsi="仿宋_GB2312" w:cs="仿宋_GB2312" w:eastAsia="仿宋_GB2312"/>
                <w:sz w:val="18"/>
              </w:rPr>
              <w:t>▲18.支持管理端远程部署网络对拷或增量对拷，无需到每台对拷机操作；如遇对拷机故障或操作难题，通过DOS下远程遥控进行协助操作；如遇断电情况，可以进行断电续传；支持对WPS</w:t>
            </w:r>
            <w:r>
              <w:rPr>
                <w:rFonts w:ascii="仿宋_GB2312" w:hAnsi="仿宋_GB2312" w:cs="仿宋_GB2312" w:eastAsia="仿宋_GB2312"/>
              </w:rPr>
              <w:t xml:space="preserve"> </w:t>
            </w:r>
            <w:r>
              <w:rPr>
                <w:rFonts w:ascii="仿宋_GB2312" w:hAnsi="仿宋_GB2312" w:cs="仿宋_GB2312" w:eastAsia="仿宋_GB2312"/>
                <w:sz w:val="18"/>
              </w:rPr>
              <w:t>Office、Photoshop等办公、设计类软件的统一注册，无需手动逐台激活；</w:t>
            </w:r>
          </w:p>
          <w:p>
            <w:pPr>
              <w:pStyle w:val="null3"/>
              <w:jc w:val="left"/>
            </w:pPr>
            <w:r>
              <w:rPr>
                <w:rFonts w:ascii="仿宋_GB2312" w:hAnsi="仿宋_GB2312" w:cs="仿宋_GB2312" w:eastAsia="仿宋_GB2312"/>
                <w:sz w:val="18"/>
              </w:rPr>
              <w:t>19.自动分配IP，对拷时可按照指定顺序自动分配IP地址和计算机名，也可以通过管理端远程批量修改；支持不同系统分配不同IP地址。</w:t>
            </w:r>
          </w:p>
          <w:p>
            <w:pPr>
              <w:pStyle w:val="null3"/>
              <w:jc w:val="left"/>
            </w:pPr>
            <w:r>
              <w:rPr>
                <w:rFonts w:ascii="仿宋_GB2312" w:hAnsi="仿宋_GB2312" w:cs="仿宋_GB2312" w:eastAsia="仿宋_GB2312"/>
                <w:sz w:val="18"/>
              </w:rPr>
              <w:t>20.系统保护，支持自动还原/定时还原/自动保存/定时保存/不还原模式，可授权客户端自主切换，或管理端一键指定切换还原保护模式，设置剩余空间报警。</w:t>
            </w:r>
          </w:p>
          <w:p>
            <w:pPr>
              <w:pStyle w:val="null3"/>
              <w:jc w:val="left"/>
            </w:pPr>
            <w:r>
              <w:rPr>
                <w:rFonts w:ascii="仿宋_GB2312" w:hAnsi="仿宋_GB2312" w:cs="仿宋_GB2312" w:eastAsia="仿宋_GB2312"/>
                <w:sz w:val="18"/>
              </w:rPr>
              <w:t>21.支持机房节能，管理端可设定客户端在多久时间没操作后自动关闭显示器、自动进入待机状态、自动关机；可设定允许客户端每天开机的时段、一周中哪几天开机等。</w:t>
            </w:r>
          </w:p>
          <w:p>
            <w:pPr>
              <w:pStyle w:val="null3"/>
              <w:jc w:val="left"/>
            </w:pPr>
            <w:r>
              <w:rPr>
                <w:rFonts w:ascii="仿宋_GB2312" w:hAnsi="仿宋_GB2312" w:cs="仿宋_GB2312" w:eastAsia="仿宋_GB2312"/>
                <w:sz w:val="18"/>
              </w:rPr>
              <w:t>22.按照教学实际需求，可设定计划任务，在指定的时间点自动切换到指定的还原点，且支持离线任务。</w:t>
            </w:r>
          </w:p>
          <w:p>
            <w:pPr>
              <w:pStyle w:val="null3"/>
              <w:jc w:val="left"/>
            </w:pPr>
            <w:r>
              <w:rPr>
                <w:rFonts w:ascii="仿宋_GB2312" w:hAnsi="仿宋_GB2312" w:cs="仿宋_GB2312" w:eastAsia="仿宋_GB2312"/>
                <w:sz w:val="18"/>
              </w:rPr>
              <w:t>23.文件目录管理，提供数据多级加密，可指定文件夹不还原，安全密码加密文件夹；目录同步，单向或双向备份。</w:t>
            </w:r>
          </w:p>
          <w:p>
            <w:pPr>
              <w:pStyle w:val="null3"/>
              <w:jc w:val="left"/>
            </w:pPr>
            <w:r>
              <w:rPr>
                <w:rFonts w:ascii="仿宋_GB2312" w:hAnsi="仿宋_GB2312" w:cs="仿宋_GB2312" w:eastAsia="仿宋_GB2312"/>
                <w:sz w:val="18"/>
              </w:rPr>
              <w:t>24.支持独立环境功能，可以基于当前还原点创建多个互不干扰的系统环境，且不被还原。</w:t>
            </w:r>
          </w:p>
          <w:p>
            <w:pPr>
              <w:pStyle w:val="null3"/>
              <w:jc w:val="left"/>
            </w:pPr>
            <w:r>
              <w:rPr>
                <w:rFonts w:ascii="仿宋_GB2312" w:hAnsi="仿宋_GB2312" w:cs="仿宋_GB2312" w:eastAsia="仿宋_GB2312"/>
                <w:sz w:val="18"/>
              </w:rPr>
              <w:t>25.支持网络侦测，收集驱动、进程、磁盘、服务、异常进程等信息，快速分析电脑异常原因。</w:t>
            </w:r>
          </w:p>
          <w:p>
            <w:pPr>
              <w:pStyle w:val="null3"/>
              <w:jc w:val="left"/>
            </w:pPr>
            <w:r>
              <w:rPr>
                <w:rFonts w:ascii="仿宋_GB2312" w:hAnsi="仿宋_GB2312" w:cs="仿宋_GB2312" w:eastAsia="仿宋_GB2312"/>
                <w:sz w:val="18"/>
              </w:rPr>
              <w:t>▲26.软件须提供计算机软件著作权登记证书，缺少证书扣1分。</w:t>
            </w:r>
          </w:p>
          <w:p>
            <w:pPr>
              <w:pStyle w:val="null3"/>
              <w:jc w:val="left"/>
            </w:pPr>
            <w:r>
              <w:rPr>
                <w:rFonts w:ascii="仿宋_GB2312" w:hAnsi="仿宋_GB2312" w:cs="仿宋_GB2312" w:eastAsia="仿宋_GB2312"/>
                <w:sz w:val="18"/>
                <w:b/>
              </w:rPr>
              <w:t>注：由于管理软件功能包括电子教室和硬件保护还原系统功能，可接受由两套软件共同完成上述功能，并满足兼容性适配</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rPr>
              <w:t>交换机：</w:t>
            </w:r>
          </w:p>
          <w:p>
            <w:pPr>
              <w:pStyle w:val="null3"/>
            </w:pPr>
            <w:r>
              <w:rPr>
                <w:rFonts w:ascii="仿宋_GB2312" w:hAnsi="仿宋_GB2312" w:cs="仿宋_GB2312" w:eastAsia="仿宋_GB2312"/>
                <w:sz w:val="18"/>
              </w:rPr>
              <w:t>二层网管型交换机，1U机架式；端口配置：48 个 10/100/1000M 自适应 RJ45 电口，2个SFP扩展插槽，兼容1G、2.5G 光模块；交换容量≥432Gbps；包转发率≥144Mpps；端口防雷能力≥10KV（共模防雷）。</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color w:val="000000"/>
              </w:rPr>
              <w:t>路由器：</w:t>
            </w:r>
          </w:p>
          <w:p>
            <w:pPr>
              <w:pStyle w:val="null3"/>
            </w:pPr>
            <w:r>
              <w:rPr>
                <w:rFonts w:ascii="仿宋_GB2312" w:hAnsi="仿宋_GB2312" w:cs="仿宋_GB2312" w:eastAsia="仿宋_GB2312"/>
                <w:sz w:val="18"/>
                <w:color w:val="000000"/>
              </w:rPr>
              <w:t>企业级千兆有线路由器，2个千兆WAN口（1个WAN口支持切换为LAN口），3个千兆LAN口(2 个 LAN 口支持切换为 WAN)，WEB 网管</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18"/>
              </w:rPr>
              <w:t>学生电脑桌凳：</w:t>
            </w:r>
          </w:p>
          <w:p>
            <w:pPr>
              <w:pStyle w:val="null3"/>
            </w:pPr>
            <w:r>
              <w:rPr>
                <w:rFonts w:ascii="仿宋_GB2312" w:hAnsi="仿宋_GB2312" w:cs="仿宋_GB2312" w:eastAsia="仿宋_GB2312"/>
                <w:sz w:val="18"/>
                <w:color w:val="000000"/>
              </w:rPr>
              <w:t>双人桌，桌子尺寸</w:t>
            </w:r>
            <w:r>
              <w:rPr>
                <w:rFonts w:ascii="仿宋_GB2312" w:hAnsi="仿宋_GB2312" w:cs="仿宋_GB2312" w:eastAsia="仿宋_GB2312"/>
                <w:sz w:val="18"/>
                <w:color w:val="000000"/>
              </w:rPr>
              <w:t>≥长</w:t>
            </w:r>
            <w:r>
              <w:rPr>
                <w:rFonts w:ascii="仿宋_GB2312" w:hAnsi="仿宋_GB2312" w:cs="仿宋_GB2312" w:eastAsia="仿宋_GB2312"/>
                <w:sz w:val="18"/>
                <w:color w:val="000000"/>
              </w:rPr>
              <w:t>120cm*宽55cm*高75cm,环保防火板桌面，冷轧钢管桌架，钢管壁厚度不低于1.2mm；钢架防滑方凳，高度45cm，钢管壁厚度不低于1.2mm</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18"/>
              </w:rPr>
              <w:t>教师电脑桌椅：</w:t>
            </w:r>
          </w:p>
          <w:p>
            <w:pPr>
              <w:pStyle w:val="null3"/>
            </w:pPr>
            <w:r>
              <w:rPr>
                <w:rFonts w:ascii="仿宋_GB2312" w:hAnsi="仿宋_GB2312" w:cs="仿宋_GB2312" w:eastAsia="仿宋_GB2312"/>
                <w:sz w:val="18"/>
                <w:color w:val="000000"/>
              </w:rPr>
              <w:t>桌长160cm*宽70cm*高75cm，环保防火板桌面，加厚钢架桌架；人体工学升降转椅</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18"/>
              </w:rPr>
              <w:t>音响：</w:t>
            </w:r>
          </w:p>
          <w:p>
            <w:pPr>
              <w:pStyle w:val="null3"/>
            </w:pPr>
            <w:r>
              <w:rPr>
                <w:rFonts w:ascii="仿宋_GB2312" w:hAnsi="仿宋_GB2312" w:cs="仿宋_GB2312" w:eastAsia="仿宋_GB2312"/>
                <w:sz w:val="18"/>
                <w:color w:val="000000"/>
              </w:rPr>
              <w:t>定压功放，功放功率</w:t>
            </w:r>
            <w:r>
              <w:rPr>
                <w:rFonts w:ascii="仿宋_GB2312" w:hAnsi="仿宋_GB2312" w:cs="仿宋_GB2312" w:eastAsia="仿宋_GB2312"/>
                <w:sz w:val="18"/>
                <w:color w:val="000000"/>
              </w:rPr>
              <w:t>≥</w:t>
            </w:r>
            <w:r>
              <w:rPr>
                <w:rFonts w:ascii="仿宋_GB2312" w:hAnsi="仿宋_GB2312" w:cs="仿宋_GB2312" w:eastAsia="仿宋_GB2312"/>
                <w:sz w:val="18"/>
                <w:color w:val="000000"/>
              </w:rPr>
              <w:t>120W，能满足无线话筒及电脑音频输出；无线鹅颈麦克风1只，手持麦克风1只，配套无线话筒接收器；壁挂音箱2只，单只功率不低于30W。</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18"/>
                <w:color w:val="000000"/>
              </w:rPr>
              <w:t>稳压电源：</w:t>
            </w:r>
            <w:r>
              <w:br/>
            </w:r>
            <w:r>
              <w:rPr>
                <w:rFonts w:ascii="仿宋_GB2312" w:hAnsi="仿宋_GB2312" w:cs="仿宋_GB2312" w:eastAsia="仿宋_GB2312"/>
                <w:sz w:val="18"/>
                <w:color w:val="000000"/>
              </w:rPr>
              <w:t xml:space="preserve"> 1.20KVA多功能综合保护。</w:t>
            </w:r>
          </w:p>
          <w:p>
            <w:pPr>
              <w:pStyle w:val="null3"/>
              <w:jc w:val="left"/>
            </w:pPr>
            <w:r>
              <w:rPr>
                <w:rFonts w:ascii="仿宋_GB2312" w:hAnsi="仿宋_GB2312" w:cs="仿宋_GB2312" w:eastAsia="仿宋_GB2312"/>
                <w:sz w:val="18"/>
                <w:color w:val="000000"/>
              </w:rPr>
              <w:t>2.单相，输入电压范围：120—300V，输出电压范围：220V；</w:t>
            </w:r>
          </w:p>
          <w:p>
            <w:pPr>
              <w:pStyle w:val="null3"/>
              <w:jc w:val="left"/>
            </w:pPr>
            <w:r>
              <w:rPr>
                <w:rFonts w:ascii="仿宋_GB2312" w:hAnsi="仿宋_GB2312" w:cs="仿宋_GB2312" w:eastAsia="仿宋_GB2312"/>
                <w:sz w:val="18"/>
                <w:color w:val="000000"/>
              </w:rPr>
              <w:t>3.稳压精度：相电压220V+1%；频率：50Hz/60Hz；</w:t>
            </w:r>
          </w:p>
          <w:p>
            <w:pPr>
              <w:pStyle w:val="null3"/>
              <w:jc w:val="left"/>
            </w:pPr>
            <w:r>
              <w:rPr>
                <w:rFonts w:ascii="仿宋_GB2312" w:hAnsi="仿宋_GB2312" w:cs="仿宋_GB2312" w:eastAsia="仿宋_GB2312"/>
                <w:sz w:val="18"/>
                <w:color w:val="000000"/>
              </w:rPr>
              <w:t>4.调整时间：&lt;30豪秒（输入电压变化10%）；效率&gt;90%；</w:t>
            </w:r>
          </w:p>
          <w:p>
            <w:pPr>
              <w:pStyle w:val="null3"/>
            </w:pPr>
            <w:r>
              <w:rPr>
                <w:rFonts w:ascii="仿宋_GB2312" w:hAnsi="仿宋_GB2312" w:cs="仿宋_GB2312" w:eastAsia="仿宋_GB2312"/>
                <w:sz w:val="18"/>
                <w:color w:val="000000"/>
              </w:rPr>
              <w:t>5.保护功能：过压保护，过流保护</w:t>
            </w:r>
            <w:r>
              <w:rPr>
                <w:rFonts w:ascii="仿宋_GB2312" w:hAnsi="仿宋_GB2312" w:cs="仿宋_GB2312" w:eastAsia="仿宋_GB2312"/>
                <w:sz w:val="18"/>
              </w:rPr>
              <w:t>。</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18"/>
              </w:rPr>
              <w:t>防雷模块：</w:t>
            </w:r>
          </w:p>
          <w:p>
            <w:pPr>
              <w:pStyle w:val="null3"/>
              <w:jc w:val="left"/>
            </w:pPr>
            <w:r>
              <w:rPr>
                <w:rFonts w:ascii="仿宋_GB2312" w:hAnsi="仿宋_GB2312" w:cs="仿宋_GB2312" w:eastAsia="仿宋_GB2312"/>
                <w:sz w:val="18"/>
                <w:color w:val="000000"/>
              </w:rPr>
              <w:t>二级电源浪涌保护器（SPD TypeⅡ/C级，1套）</w:t>
            </w:r>
          </w:p>
          <w:p>
            <w:pPr>
              <w:pStyle w:val="null3"/>
              <w:jc w:val="left"/>
            </w:pPr>
            <w:r>
              <w:rPr>
                <w:rFonts w:ascii="仿宋_GB2312" w:hAnsi="仿宋_GB2312" w:cs="仿宋_GB2312" w:eastAsia="仿宋_GB2312"/>
                <w:sz w:val="18"/>
                <w:color w:val="000000"/>
              </w:rPr>
              <w:t>产品符合GB/T 18802.11、GB50343标准，模块化插拔结构，DIN导轨安装；</w:t>
            </w:r>
          </w:p>
          <w:p>
            <w:pPr>
              <w:pStyle w:val="null3"/>
              <w:jc w:val="left"/>
            </w:pPr>
            <w:r>
              <w:rPr>
                <w:rFonts w:ascii="仿宋_GB2312" w:hAnsi="仿宋_GB2312" w:cs="仿宋_GB2312" w:eastAsia="仿宋_GB2312"/>
                <w:sz w:val="18"/>
                <w:color w:val="000000"/>
              </w:rPr>
              <w:t>最大持续运行电压Uc≥385V AC；标称放电电流In≥20kA(8/20μs)，最大放电电流Imax≥40kA(8/20μs)；</w:t>
            </w:r>
          </w:p>
          <w:p>
            <w:pPr>
              <w:pStyle w:val="null3"/>
              <w:jc w:val="left"/>
            </w:pPr>
            <w:r>
              <w:rPr>
                <w:rFonts w:ascii="仿宋_GB2312" w:hAnsi="仿宋_GB2312" w:cs="仿宋_GB2312" w:eastAsia="仿宋_GB2312"/>
                <w:sz w:val="18"/>
                <w:color w:val="000000"/>
              </w:rPr>
              <w:t>电压保护水平Up≤1.5kV；内置热脱扣失效保护装置，具备故障状态可视告警指示；</w:t>
            </w:r>
          </w:p>
          <w:p>
            <w:pPr>
              <w:pStyle w:val="null3"/>
              <w:jc w:val="left"/>
            </w:pPr>
            <w:r>
              <w:rPr>
                <w:rFonts w:ascii="仿宋_GB2312" w:hAnsi="仿宋_GB2312" w:cs="仿宋_GB2312" w:eastAsia="仿宋_GB2312"/>
                <w:sz w:val="18"/>
                <w:color w:val="000000"/>
              </w:rPr>
              <w:t>机房进线为TN-S系统，配置对应极数SPD；配套前端后备保护断路器；</w:t>
            </w:r>
          </w:p>
          <w:p>
            <w:pPr>
              <w:pStyle w:val="null3"/>
            </w:pPr>
            <w:r>
              <w:rPr>
                <w:rFonts w:ascii="仿宋_GB2312" w:hAnsi="仿宋_GB2312" w:cs="仿宋_GB2312" w:eastAsia="仿宋_GB2312"/>
                <w:sz w:val="18"/>
                <w:color w:val="000000"/>
              </w:rPr>
              <w:t>施工要求：市电进线先接入SPD，再接稳压电源及负载；配套可靠接地，接地电阻满足规范；包含接线、接地施工、整体调试。</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18"/>
              </w:rPr>
              <w:t>空调：</w:t>
            </w:r>
          </w:p>
          <w:p>
            <w:pPr>
              <w:pStyle w:val="null3"/>
              <w:jc w:val="left"/>
            </w:pPr>
            <w:r>
              <w:rPr>
                <w:rFonts w:ascii="仿宋_GB2312" w:hAnsi="仿宋_GB2312" w:cs="仿宋_GB2312" w:eastAsia="仿宋_GB2312"/>
                <w:sz w:val="18"/>
                <w:color w:val="000000"/>
              </w:rPr>
              <w:t>机房立柜式变频冷暖空调。</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color w:val="000000"/>
              </w:rPr>
              <w:t>性能规格：额定制冷量≥7200W，额定制热量≥8000W；电源：单相交流220V 50Hz；新国标能效等级≥3级。</w:t>
            </w:r>
          </w:p>
          <w:p>
            <w:pPr>
              <w:pStyle w:val="null3"/>
              <w:jc w:val="left"/>
            </w:pPr>
            <w:r>
              <w:rPr>
                <w:rFonts w:ascii="仿宋_GB2312" w:hAnsi="仿宋_GB2312" w:cs="仿宋_GB2312" w:eastAsia="仿宋_GB2312"/>
                <w:sz w:val="18"/>
                <w:color w:val="000000"/>
              </w:rPr>
              <w:t>具备宽电压适应能力。</w:t>
            </w:r>
          </w:p>
          <w:p>
            <w:pPr>
              <w:pStyle w:val="null3"/>
              <w:jc w:val="left"/>
            </w:pPr>
            <w:r>
              <w:rPr>
                <w:rFonts w:ascii="仿宋_GB2312" w:hAnsi="仿宋_GB2312" w:cs="仿宋_GB2312" w:eastAsia="仿宋_GB2312"/>
                <w:sz w:val="18"/>
              </w:rPr>
              <w:t>★</w:t>
            </w:r>
            <w:r>
              <w:rPr>
                <w:rFonts w:ascii="仿宋_GB2312" w:hAnsi="仿宋_GB2312" w:cs="仿宋_GB2312" w:eastAsia="仿宋_GB2312"/>
                <w:sz w:val="18"/>
                <w:color w:val="000000"/>
              </w:rPr>
              <w:t>产品资质：所投产品具备有效的节能认证证书，无证书所投产品无效。</w:t>
            </w:r>
          </w:p>
          <w:p>
            <w:pPr>
              <w:pStyle w:val="null3"/>
            </w:pPr>
            <w:r>
              <w:rPr>
                <w:rFonts w:ascii="仿宋_GB2312" w:hAnsi="仿宋_GB2312" w:cs="仿宋_GB2312" w:eastAsia="仿宋_GB2312"/>
                <w:sz w:val="18"/>
                <w:color w:val="000000"/>
              </w:rPr>
              <w:t>安装要求：不得与机房计算机、照明回路共用供电线路。</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18"/>
              </w:rPr>
              <w:t>窗帘：</w:t>
            </w:r>
          </w:p>
          <w:p>
            <w:pPr>
              <w:pStyle w:val="null3"/>
            </w:pPr>
            <w:r>
              <w:rPr>
                <w:rFonts w:ascii="仿宋_GB2312" w:hAnsi="仿宋_GB2312" w:cs="仿宋_GB2312" w:eastAsia="仿宋_GB2312"/>
                <w:sz w:val="18"/>
                <w:color w:val="000000"/>
              </w:rPr>
              <w:t>全遮光窗帘，每间教室按六幅设计，以实际教室需求为准。</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18"/>
              </w:rPr>
              <w:t>操作系统软件：</w:t>
            </w:r>
          </w:p>
          <w:p>
            <w:pPr>
              <w:pStyle w:val="null3"/>
            </w:pPr>
            <w:r>
              <w:rPr>
                <w:rFonts w:ascii="仿宋_GB2312" w:hAnsi="仿宋_GB2312" w:cs="仿宋_GB2312" w:eastAsia="仿宋_GB2312"/>
                <w:sz w:val="18"/>
                <w:color w:val="000000"/>
              </w:rPr>
              <w:t>桌面操作系统软件，包含系统软件正式版永久授权，三年内免费升级。</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18"/>
              </w:rPr>
              <w:t>辅材：</w:t>
            </w:r>
          </w:p>
          <w:p>
            <w:pPr>
              <w:pStyle w:val="null3"/>
            </w:pPr>
            <w:r>
              <w:rPr>
                <w:rFonts w:ascii="仿宋_GB2312" w:hAnsi="仿宋_GB2312" w:cs="仿宋_GB2312" w:eastAsia="仿宋_GB2312"/>
                <w:sz w:val="18"/>
                <w:color w:val="000000"/>
              </w:rPr>
              <w:t>机柜、电源线、插板、超五类网线及超五类水晶头、钢制扣板等，按实际需求配备，电子类产品须通过3C认证，为符合相关国标合格产品。</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18"/>
                <w:color w:val="000000"/>
              </w:rPr>
              <w:t>机房全部施工，符合相关施工规范。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合同签订之日起30个工作日。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以下18所学校（洋县书院初中、洋州九年制学校、城南九年制学校、金水九年制学校、茅坪九年制学校、贯溪初中、纸坊初中、戚氏初中、江坝初中、龙亭初中、槐树关初中、东韩初中、池南初中、溢水初中、马畅初中、黄安初中、黄金峡初中、华阳初中）指定教室。</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进度款，项目完成，经验收合格后，达到付款条件起30个工作日内，支付合同总金额的100.0%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（1）中标人向采购人提交项目实施过程中的所有资料。 （2）验收须以合同、招标文件及投标文件、澄清及国家相应的标准、规范等为依据。 （3）符合中华人民共和国国家和履约地相关安全质量标准、行业技术规范标准、环保节能标准； （4）符合招标文件及投标文件承诺中采购人认可的合理最佳配置、参数规格及各项要求； （5）双方约定的其他验收标准。 （6）采购人在合同的履行期间以及履行期后，可以随时检查项目的执行情况，对采购标准、采购内容进行调查核实，并对发现的问题进行处理。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1.除空调整机原厂质保不少于3年，压缩机质保不少于6年外，其余所有设备质保期为验收合格后≥3年，提供免费上门更换和维修服务。（中标人承诺的质保时间超过招标文件要求的，按其承诺时间质保） 2.中标人承诺的质保期起始时间为终验合格之日。 3.本项目所有设备质量必须符合国家有关规范和相关政策。所有设备及辅材必须是未使用过的新设备，质量优良、渠道正当，配置合理。为确保设备售后服务的及时性、保障性，交付设备时必须提供原厂售后服务承诺函。 4.质保期出现的质量问题由中标人负责解决并承担所有费用。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1.乙方应按合同约定时间完成合同义务，若发生延迟，乙方应向甲方支付合同总价款10%的违约金，且甲方有权单方解除本合同。但甲方书面同意延迟或因甲方原因导致延迟的，乙方不承担违约责任。 2.本次活动因乙方原因导致侵害甲方或第三方合法权益的，应由乙方承担相应赔偿责任，并向甲方支付合同总价款10%的违约金。 3.若乙方未经甲方同意泄露本合同约定的任何秘密信息的，乙方应按照合同总价款的10%向甲方支付违约金，并赔偿因此给甲方造成的损失。 4.乙方保证向甲方开具发票的真实性、合法性，若乙方向甲方开具的发票存在真实性、合法性问题，给甲方造成损失的，乙方应按合同总价款的10%向甲方支付违约金，违约金不足以弥补损失的，乙方还应承担相应赔偿责任。 二、解决争议的方法：执行本合同过程中发生争议，应友好协商解决，协商不成的，可协商或由有关部门调解解决，协商或调解不成的，可向采购方所在地洋县人民法院提起诉讼。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本项目不专门面向中小企业采购。</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控股管理关系.docx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营业执照等主体资格证明文件.docx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征集活动时，应提供法定代表人(负责人)委托授权书；法定代表人(负责人)亲自参加征集活动时，应提供法定代表人(负责人)身份证复印件。如法人的分支机构参与征集活动的，除提供《法定代表人授权委托书》外还须同时提供法人给分支机构出具的授权书，并加盖公章。法人只能授权一家分支机构参与征集活动，且不能与分支机构同时参与征集活动。</w:t>
            </w:r>
          </w:p>
        </w:tc>
        <w:tc>
          <w:tcPr>
            <w:tcW w:type="dxa" w:w="1661"/>
          </w:tcPr>
          <w:p>
            <w:pPr>
              <w:pStyle w:val="null3"/>
            </w:pPr>
            <w:r>
              <w:rPr>
                <w:rFonts w:ascii="仿宋_GB2312" w:hAnsi="仿宋_GB2312" w:cs="仿宋_GB2312" w:eastAsia="仿宋_GB2312"/>
              </w:rPr>
              <w:t>法定代表人证明书及法定代表人授权书.docx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产品技术参数表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投标文件内容及格式</w:t>
            </w:r>
          </w:p>
        </w:tc>
        <w:tc>
          <w:tcPr>
            <w:tcW w:type="dxa" w:w="3322"/>
          </w:tcPr>
          <w:p>
            <w:pPr>
              <w:pStyle w:val="null3"/>
            </w:pPr>
            <w:r>
              <w:rPr>
                <w:rFonts w:ascii="仿宋_GB2312" w:hAnsi="仿宋_GB2312" w:cs="仿宋_GB2312" w:eastAsia="仿宋_GB2312"/>
              </w:rPr>
              <w:t>符合招标文件要求，投标文件内容齐全，无遗漏</w:t>
            </w:r>
          </w:p>
        </w:tc>
        <w:tc>
          <w:tcPr>
            <w:tcW w:type="dxa" w:w="1661"/>
          </w:tcPr>
          <w:p>
            <w:pPr>
              <w:pStyle w:val="null3"/>
            </w:pPr>
            <w:r>
              <w:rPr>
                <w:rFonts w:ascii="仿宋_GB2312" w:hAnsi="仿宋_GB2312" w:cs="仿宋_GB2312" w:eastAsia="仿宋_GB2312"/>
              </w:rPr>
              <w:t>开标一览表 中小企业声明函 商务应答表 项目整体实施方案.docx 营业执照等主体资格证明文件.docx 控股管理关系.docx 汉中市政府采购供应商资格承诺函.docx 投标人应提交的相关资格证明材料 产品技术参数表 投标函 拒绝政府采购领域商业贿赂承诺书.docx 残疾人福利性单位声明函 关于符合本国产品标准的声明函 标的清单 投标文件封面 法定代表人证明书及法定代表人授权书.docx 偏离表格式.docx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均按照招标文件要求签字，盖章（评分标准中要求提供的证明材料除外）</w:t>
            </w:r>
          </w:p>
        </w:tc>
        <w:tc>
          <w:tcPr>
            <w:tcW w:type="dxa" w:w="1661"/>
          </w:tcPr>
          <w:p>
            <w:pPr>
              <w:pStyle w:val="null3"/>
            </w:pPr>
            <w:r>
              <w:rPr>
                <w:rFonts w:ascii="仿宋_GB2312" w:hAnsi="仿宋_GB2312" w:cs="仿宋_GB2312" w:eastAsia="仿宋_GB2312"/>
              </w:rPr>
              <w:t>开标一览表 中小企业声明函 商务应答表 项目整体实施方案.docx 营业执照等主体资格证明文件.docx 控股管理关系.docx 汉中市政府采购供应商资格承诺函.docx 投标人应提交的相关资格证明材料 产品技术参数表 投标函 残疾人福利性单位声明函 拒绝政府采购领域商业贿赂承诺书.docx 标的清单 关于符合本国产品标准的声明函 法定代表人证明书及法定代表人授权书.docx 投标文件封面 偏离表格式.docx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（1）投标报价符合唯一性要求；（2）开标一览表填写符合要求；（3）计量单位、投标报价货币均符合招标文件的要求；（4）未超出招标文件规定的最高限价；</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《供应商拒绝政府采购领域商业贿赂承诺书》</w:t>
            </w:r>
          </w:p>
        </w:tc>
        <w:tc>
          <w:tcPr>
            <w:tcW w:type="dxa" w:w="3322"/>
          </w:tcPr>
          <w:p>
            <w:pPr>
              <w:pStyle w:val="null3"/>
            </w:pPr>
            <w:r>
              <w:rPr>
                <w:rFonts w:ascii="仿宋_GB2312" w:hAnsi="仿宋_GB2312" w:cs="仿宋_GB2312" w:eastAsia="仿宋_GB2312"/>
              </w:rPr>
              <w:t>完全理解并填写《拒绝政府采购领域商业贿赂承诺书》</w:t>
            </w:r>
          </w:p>
        </w:tc>
        <w:tc>
          <w:tcPr>
            <w:tcW w:type="dxa" w:w="1661"/>
          </w:tcPr>
          <w:p>
            <w:pPr>
              <w:pStyle w:val="null3"/>
            </w:pPr>
            <w:r>
              <w:rPr>
                <w:rFonts w:ascii="仿宋_GB2312" w:hAnsi="仿宋_GB2312" w:cs="仿宋_GB2312" w:eastAsia="仿宋_GB2312"/>
              </w:rPr>
              <w:t>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是否发现法律、法规和公开招标文件规定的其他无效情形。</w:t>
            </w:r>
          </w:p>
        </w:tc>
        <w:tc>
          <w:tcPr>
            <w:tcW w:type="dxa" w:w="3322"/>
          </w:tcPr>
          <w:p>
            <w:pPr>
              <w:pStyle w:val="null3"/>
            </w:pPr>
            <w:r>
              <w:rPr>
                <w:rFonts w:ascii="仿宋_GB2312" w:hAnsi="仿宋_GB2312" w:cs="仿宋_GB2312" w:eastAsia="仿宋_GB2312"/>
              </w:rPr>
              <w:t>投标文件不存在法律、法规和公开招标文件规定的其它无效情形。</w:t>
            </w:r>
          </w:p>
        </w:tc>
        <w:tc>
          <w:tcPr>
            <w:tcW w:type="dxa" w:w="1661"/>
          </w:tcPr>
          <w:p>
            <w:pPr>
              <w:pStyle w:val="null3"/>
            </w:pPr>
            <w:r>
              <w:rPr>
                <w:rFonts w:ascii="仿宋_GB2312" w:hAnsi="仿宋_GB2312" w:cs="仿宋_GB2312" w:eastAsia="仿宋_GB2312"/>
              </w:rPr>
              <w:t>开标一览表 中小企业声明函 商务应答表 项目整体实施方案.docx 营业执照等主体资格证明文件.docx 控股管理关系.docx 汉中市政府采购供应商资格承诺函.docx 投标人应提交的相关资格证明材料 产品技术参数表 投标函 残疾人福利性单位声明函 拒绝政府采购领域商业贿赂承诺书.docx 关于符合本国产品标准的声明函 标的清单 法定代表人证明书及法定代表人授权书.docx 投标文件封面 偏离表格式.docx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根据产品技术和性能响应情况打分： 1.所投产品技术参数清楚、明确并能逐条响应技术参数表中所有项参数要求，无任何负偏离的，得40分；2.标记“★”的参数需求为实质性要求，不允许负偏离，否则按无效投标处理；3.标记“▲”为重要参数，每出现一项负偏离扣2分，扣完为止；4.其它无特殊标识的参数为一般参数，每出现一项负偏离扣0.5分，扣完为止。5.有★和▲特殊标记的参数项，所投产品技术参数性能优于招标文件要求，且具有实际使用价值的提高，每出现一项加1分，最高加4分。 注：供应商在投标、响应环节出具关于所提供台式计算机满足采购文件要求的承诺函的，即视为相关产品符合要求，有关佐证资料（包括但不限于产品制造商公开发布的产品功能截图、产品彩页、产品使用说明书、有资质的第三方出具的检验报告或证明等技术指标和参数证明等，并加盖投标人公章）不作为必须提供项要求。 本项目采用线上电子化评标，评标阶段无法组织现场功能演示。招标人规定：招标评审工作全部结束后，第一候选中标人签订采购合同前，须自备配套计算机设备及完整软件样品一套，赴招标人指定场所，对照投标文件技术偏离表逐项开展软件功能实操演示。现场演示所呈现的参数、功能偏离情形，必须与投标文件技术偏离表承诺内容保持完全一致。若现场演示发现存在功能、参数负偏离，但投标人在投标文件中承诺为无偏离的，招标人将报告政府采购监管部门，按政府采购法等相关法律法规处理，涉嫌提供虚假材料的将由本级财政部门依法依规处理。</w:t>
            </w:r>
          </w:p>
        </w:tc>
        <w:tc>
          <w:tcPr>
            <w:tcW w:type="dxa" w:w="831"/>
          </w:tcPr>
          <w:p>
            <w:pPr>
              <w:pStyle w:val="null3"/>
              <w:jc w:val="right"/>
            </w:pPr>
            <w:r>
              <w:rPr>
                <w:rFonts w:ascii="仿宋_GB2312" w:hAnsi="仿宋_GB2312" w:cs="仿宋_GB2312" w:eastAsia="仿宋_GB2312"/>
              </w:rPr>
              <w:t>44.0000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偏离表格式.docx</w:t>
            </w:r>
          </w:p>
        </w:tc>
      </w:tr>
      <w:tr>
        <w:tc>
          <w:tcPr>
            <w:tcW w:type="dxa" w:w="831"/>
            <w:vMerge/>
          </w:tcPr>
          <w:p/>
        </w:tc>
        <w:tc>
          <w:tcPr>
            <w:tcW w:type="dxa" w:w="1661"/>
          </w:tcPr>
          <w:p>
            <w:pPr>
              <w:pStyle w:val="null3"/>
            </w:pPr>
            <w:r>
              <w:rPr>
                <w:rFonts w:ascii="仿宋_GB2312" w:hAnsi="仿宋_GB2312" w:cs="仿宋_GB2312" w:eastAsia="仿宋_GB2312"/>
              </w:rPr>
              <w:t>环境标志认证</w:t>
            </w:r>
          </w:p>
        </w:tc>
        <w:tc>
          <w:tcPr>
            <w:tcW w:type="dxa" w:w="2492"/>
          </w:tcPr>
          <w:p>
            <w:pPr>
              <w:pStyle w:val="null3"/>
            </w:pPr>
            <w:r>
              <w:rPr>
                <w:rFonts w:ascii="仿宋_GB2312" w:hAnsi="仿宋_GB2312" w:cs="仿宋_GB2312" w:eastAsia="仿宋_GB2312"/>
              </w:rPr>
              <w:t>所投产品中，台式计算机、液晶显示器有国家确定的认证机构出具、处于有效期内的环境标志产品认证证书，证书型号与投标产品型号一致的，每一个产品得1分，最高2分；不提供不得分。证明材料：证书扫描件并加盖投标人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产品来源证明材料</w:t>
            </w:r>
          </w:p>
        </w:tc>
        <w:tc>
          <w:tcPr>
            <w:tcW w:type="dxa" w:w="2492"/>
          </w:tcPr>
          <w:p>
            <w:pPr>
              <w:pStyle w:val="null3"/>
            </w:pPr>
            <w:r>
              <w:rPr>
                <w:rFonts w:ascii="仿宋_GB2312" w:hAnsi="仿宋_GB2312" w:cs="仿宋_GB2312" w:eastAsia="仿宋_GB2312"/>
              </w:rPr>
              <w:t>所投产品中，计算机、管理软件、操作系统软件和空调共四种产品的合法来源渠道证明文件（包括但不限于原厂授权、销售协议、代理协议等，能确保供应的产品无假货、水货、翻新货且无产权纠纷），每项产品得0.5分，最高2分，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组织构架（满分0.5分）。提供针对本项目的项目组织构架图，明确设项目经理1名，并设施工、技术质量、培训等岗位，岗位设置与"学校计算机教室"实施任务相匹配的，得0.5分；未提供或明显不匹配不得分。 2.人员管理制度（满分0.5分）。提供项目人员考勤、考核、安全生产等管理制度文本，内容完整可执行的得0.5分；仅提供提纲或空缺不得分。 3.人员资质（满分1分）。①项目经理持有效系统集成项目管理工程师或同类项目管理证书，得0.5分；②技术负责人持计算机或网络类中级及以上职称证书，得0.5分。须附证书复印件并加盖公章，否则不得分。 4.关键岗位配置（满分2分）。明确以下岗位人员：①项目经理；②技术负责人；③实施工程师；④培训讲师，并有具体职责分工，提供以上每类人员至少1人的劳动合同或近6个月社保缴纳证明，证明其为投标人在职人员；每提供1人完整资料得0.5分，最高2分。 5.到场及不更换承诺（满分1分）。①出具书面承诺：项目经理及核心技术成员在项目实施关键阶段到场、施工期内不更换，并附违约处理条款，得0.5分；②承诺需求/故障响应阶段核心人员到场时限（如≤2小时）并明确替补机制，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整体实施方案（满分1分）。①提供覆盖18所学校计算机教室的施工组织设计，含设备进场、安装、调试、联网、联调通用流程；②方案含项目实施与教师培训进度的衔接安排。两项齐全得1.0分，每缺一项扣0.5分。 2.计划进度安排（满分1分）。①提供总工期及里程碑节点表，明确每所学校实施排期且总工期不超过招标文件要求；②提供周计划且关键路径清晰。两项齐全得1.0分，每缺一项扣0.5分。 3.质量保证措施（满分1分）。①提供设备检验、安装工艺、系统联调验收标准（引用GB/T等相关标准）；②提供质量责任追溯与不合格品处置流程。两项齐全得1.0分，每缺一项扣0.5分。 4.进度控制措施（满分1分）。①提供风险识别（如设备到货延迟、假期施工窗口受限）及应对预案；②提供周报/例会/业主确认等过程管控机制。两项齐全得1.0分，每缺一项扣0.5分。 5.验收方案（满分1分）。①提供对照技术参数表逐项验收的测试清单（含静音、电磁兼容等关键指标）；②提供初验/终验流程及交付资料清单。两项齐全得1.0分，每缺一项扣0.5分。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项目整体实施方案.docx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服务体系及保修政策（满分1.5分）。①提供厂家或投标人保修政策文本，明确保修范围、期限、免费内容，得0.5分；②承诺主要设备（计算机等）三年及以上免费保修（原厂或经授权的等效服务）得0.5分；③提供保修期内免费备件供应保障，得0.5分。 2.服务网点与力量（满分1.5分）。①在洋县或汉中设有固定服务场所，或承诺中标后15日内设立本地服务点（附选址/设立计划），得0.5分；②提供驻点服务人员名单、职责、联系方式且不少于2人，或承诺中标后派驻，得0.5分；③提供本地备件库清单，或承诺中标后建立本地备件储备，得0.5分。 3.售后服务方案（满分2.5分）。①承诺故障响应≤2小时、到场≤4小时、一般故障修复≤24小时、重大故障≤48小时，四项全满足得1.0分，每缺一项扣0.25分；②承诺7×8或7×24服务时段，得0.5分；③提供每学期≥1次定期巡检计划，得0.5分；④提供远程支持与现场服务结合方案，得0.5分。 4.培训方案（满分2.5分）。①提供针对教师的信息技术操作培训方案（含课时、内容大纲、考核方式），得0.5分；②承诺到每所学校入校培训并覆盖全体信息技术教师，得0.5分；③提供针对学生的上机指导方案，得0.5分；④提供培训教材/视频资源交付清单，得0.5分；⑤提供培训后考核与反馈改进机制，得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vMerge/>
          </w:tcPr>
          <w:p/>
        </w:tc>
        <w:tc>
          <w:tcPr>
            <w:tcW w:type="dxa" w:w="1661"/>
          </w:tcPr>
          <w:p>
            <w:pPr>
              <w:pStyle w:val="null3"/>
            </w:pPr>
            <w:r>
              <w:rPr>
                <w:rFonts w:ascii="仿宋_GB2312" w:hAnsi="仿宋_GB2312" w:cs="仿宋_GB2312" w:eastAsia="仿宋_GB2312"/>
              </w:rPr>
              <w:t>售后质保延长</w:t>
            </w:r>
          </w:p>
        </w:tc>
        <w:tc>
          <w:tcPr>
            <w:tcW w:type="dxa" w:w="2492"/>
          </w:tcPr>
          <w:p>
            <w:pPr>
              <w:pStyle w:val="null3"/>
            </w:pPr>
            <w:r>
              <w:rPr>
                <w:rFonts w:ascii="仿宋_GB2312" w:hAnsi="仿宋_GB2312" w:cs="仿宋_GB2312" w:eastAsia="仿宋_GB2312"/>
              </w:rPr>
              <w:t>在本项目主要设备质保三年基准上，主要设备（计算机）质保期每增加1年加2分，最多加4分。要求提供主要设备（计算机）生产厂商原厂质保承诺材料。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项目整体实施方案.docx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评标委员会启动异常低价投标（响应）审查后，应当要求相关供应商在评审现场合理的时间内提供书面说明及必要的证明材料，对投标（响应）价格做出解释。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报价得分=(评标基准价／投标报价)×30，计算分数时四舍五入取小数点后两位。注：如投标人符合价格扣除条件的，其报价给予10%的扣除，并用扣除后的价格参与评标。</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详见附件：营业执照等主体资格证明文件.docx</w:t>
      </w:r>
    </w:p>
    <w:p>
      <w:pPr>
        <w:pStyle w:val="null3"/>
        <w:ind w:firstLine="960"/>
      </w:pPr>
      <w:r>
        <w:rPr>
          <w:rFonts w:ascii="仿宋_GB2312" w:hAnsi="仿宋_GB2312" w:cs="仿宋_GB2312" w:eastAsia="仿宋_GB2312"/>
        </w:rPr>
        <w:t>详见附件：偏离表格式.docx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详见附件：项目整体实施方案.docx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详见附件：法定代表人证明书及法定代表人授权书.docx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