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4494F1">
      <w:pPr>
        <w:jc w:val="center"/>
        <w:rPr>
          <w:rFonts w:hint="eastAsia"/>
          <w:sz w:val="32"/>
          <w:szCs w:val="32"/>
          <w:lang w:val="en-US" w:eastAsia="zh-CN"/>
        </w:rPr>
      </w:pPr>
      <w:r>
        <w:rPr>
          <w:rFonts w:hint="eastAsia"/>
          <w:sz w:val="32"/>
          <w:szCs w:val="32"/>
          <w:lang w:val="en-US" w:eastAsia="zh-CN"/>
        </w:rPr>
        <w:t>采购需求</w:t>
      </w:r>
    </w:p>
    <w:p w14:paraId="08A607B6">
      <w:pPr>
        <w:pStyle w:val="8"/>
        <w:numPr>
          <w:ilvl w:val="-1"/>
          <w:numId w:val="0"/>
        </w:numPr>
        <w:jc w:val="left"/>
        <w:rPr>
          <w:rFonts w:hint="eastAsia" w:ascii="宋体" w:hAnsi="宋体" w:eastAsia="宋体" w:cs="宋体"/>
          <w:b/>
          <w:bCs/>
          <w:color w:val="auto"/>
          <w:sz w:val="28"/>
          <w:szCs w:val="28"/>
          <w:lang w:val="en-US" w:eastAsia="zh-CN"/>
        </w:rPr>
      </w:pPr>
      <w:bookmarkStart w:id="0" w:name="OLE_LINK4"/>
      <w:r>
        <w:rPr>
          <w:rFonts w:hint="eastAsia" w:ascii="宋体" w:hAnsi="宋体" w:eastAsia="宋体" w:cs="宋体"/>
          <w:b/>
          <w:bCs/>
          <w:color w:val="auto"/>
          <w:sz w:val="28"/>
          <w:szCs w:val="28"/>
          <w:lang w:val="en-US" w:eastAsia="zh-CN"/>
        </w:rPr>
        <w:t>一、采购清单</w:t>
      </w:r>
    </w:p>
    <w:tbl>
      <w:tblPr>
        <w:tblStyle w:val="4"/>
        <w:tblW w:w="85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2"/>
        <w:gridCol w:w="3293"/>
        <w:gridCol w:w="1077"/>
        <w:gridCol w:w="1712"/>
        <w:gridCol w:w="1712"/>
      </w:tblGrid>
      <w:tr w14:paraId="5041E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762" w:type="dxa"/>
            <w:vAlign w:val="center"/>
          </w:tcPr>
          <w:p w14:paraId="05BEE4AB">
            <w:pPr>
              <w:spacing w:line="400" w:lineRule="exact"/>
              <w:jc w:val="center"/>
              <w:rPr>
                <w:rFonts w:hint="eastAsia" w:ascii="宋体" w:hAnsi="宋体" w:eastAsia="宋体" w:cs="宋体"/>
                <w:b/>
                <w:bCs/>
                <w:color w:val="auto"/>
                <w:sz w:val="18"/>
                <w:szCs w:val="18"/>
              </w:rPr>
            </w:pPr>
            <w:bookmarkStart w:id="1" w:name="_GoBack" w:colFirst="0" w:colLast="4"/>
            <w:r>
              <w:rPr>
                <w:rFonts w:hint="eastAsia" w:ascii="宋体" w:hAnsi="宋体" w:eastAsia="宋体" w:cs="宋体"/>
                <w:b/>
                <w:bCs/>
                <w:color w:val="auto"/>
                <w:sz w:val="18"/>
                <w:szCs w:val="18"/>
              </w:rPr>
              <w:t>序号</w:t>
            </w:r>
          </w:p>
        </w:tc>
        <w:tc>
          <w:tcPr>
            <w:tcW w:w="3293" w:type="dxa"/>
            <w:vAlign w:val="center"/>
          </w:tcPr>
          <w:p w14:paraId="7307DB38">
            <w:pPr>
              <w:spacing w:line="400" w:lineRule="exact"/>
              <w:jc w:val="center"/>
              <w:rPr>
                <w:rFonts w:hint="eastAsia" w:ascii="宋体" w:hAnsi="宋体" w:eastAsia="宋体" w:cs="宋体"/>
                <w:b/>
                <w:bCs/>
                <w:color w:val="auto"/>
                <w:sz w:val="18"/>
                <w:szCs w:val="18"/>
              </w:rPr>
            </w:pPr>
            <w:r>
              <w:rPr>
                <w:rFonts w:hint="eastAsia" w:ascii="宋体" w:hAnsi="宋体" w:eastAsia="宋体" w:cs="宋体"/>
                <w:b/>
                <w:bCs/>
                <w:color w:val="auto"/>
                <w:sz w:val="18"/>
                <w:szCs w:val="18"/>
              </w:rPr>
              <w:t>标的名称</w:t>
            </w:r>
          </w:p>
        </w:tc>
        <w:tc>
          <w:tcPr>
            <w:tcW w:w="1077" w:type="dxa"/>
            <w:vAlign w:val="center"/>
          </w:tcPr>
          <w:p w14:paraId="7EAE852E">
            <w:pPr>
              <w:spacing w:line="400" w:lineRule="exact"/>
              <w:jc w:val="center"/>
              <w:rPr>
                <w:rFonts w:hint="eastAsia" w:ascii="宋体" w:hAnsi="宋体" w:eastAsia="宋体" w:cs="宋体"/>
                <w:b/>
                <w:bCs/>
                <w:color w:val="auto"/>
                <w:sz w:val="18"/>
                <w:szCs w:val="18"/>
              </w:rPr>
            </w:pPr>
            <w:r>
              <w:rPr>
                <w:rFonts w:hint="eastAsia" w:ascii="宋体" w:hAnsi="宋体" w:eastAsia="宋体" w:cs="宋体"/>
                <w:b/>
                <w:bCs/>
                <w:color w:val="auto"/>
                <w:sz w:val="18"/>
                <w:szCs w:val="18"/>
              </w:rPr>
              <w:t>数量</w:t>
            </w:r>
          </w:p>
        </w:tc>
        <w:tc>
          <w:tcPr>
            <w:tcW w:w="1712" w:type="dxa"/>
            <w:vAlign w:val="center"/>
          </w:tcPr>
          <w:p w14:paraId="29D622F4">
            <w:pPr>
              <w:spacing w:line="400" w:lineRule="exact"/>
              <w:jc w:val="center"/>
              <w:rPr>
                <w:rFonts w:hint="eastAsia" w:ascii="宋体" w:hAnsi="宋体" w:eastAsia="宋体" w:cs="宋体"/>
                <w:b/>
                <w:bCs/>
                <w:color w:val="auto"/>
                <w:sz w:val="18"/>
                <w:szCs w:val="18"/>
              </w:rPr>
            </w:pPr>
            <w:r>
              <w:rPr>
                <w:rFonts w:hint="eastAsia" w:ascii="宋体" w:hAnsi="宋体" w:eastAsia="宋体" w:cs="宋体"/>
                <w:b/>
                <w:bCs/>
                <w:color w:val="auto"/>
                <w:sz w:val="18"/>
                <w:szCs w:val="18"/>
              </w:rPr>
              <w:t>单价最高限价（元）</w:t>
            </w:r>
          </w:p>
        </w:tc>
        <w:tc>
          <w:tcPr>
            <w:tcW w:w="1712" w:type="dxa"/>
            <w:vAlign w:val="center"/>
          </w:tcPr>
          <w:p w14:paraId="7D013CFC">
            <w:pPr>
              <w:spacing w:line="400" w:lineRule="exact"/>
              <w:jc w:val="center"/>
              <w:rPr>
                <w:rFonts w:hint="eastAsia" w:ascii="宋体" w:hAnsi="宋体" w:eastAsia="宋体" w:cs="宋体"/>
                <w:b/>
                <w:bCs/>
                <w:color w:val="auto"/>
                <w:sz w:val="18"/>
                <w:szCs w:val="18"/>
              </w:rPr>
            </w:pPr>
            <w:r>
              <w:rPr>
                <w:rFonts w:hint="eastAsia" w:ascii="宋体" w:hAnsi="宋体" w:eastAsia="宋体" w:cs="宋体"/>
                <w:b/>
                <w:bCs/>
                <w:color w:val="auto"/>
                <w:sz w:val="18"/>
                <w:szCs w:val="18"/>
              </w:rPr>
              <w:t>是否核心产品</w:t>
            </w:r>
          </w:p>
        </w:tc>
      </w:tr>
      <w:tr w14:paraId="58E57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762" w:type="dxa"/>
            <w:vAlign w:val="center"/>
          </w:tcPr>
          <w:p w14:paraId="72F4F725">
            <w:pPr>
              <w:spacing w:line="400" w:lineRule="exact"/>
              <w:jc w:val="center"/>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1</w:t>
            </w:r>
          </w:p>
        </w:tc>
        <w:tc>
          <w:tcPr>
            <w:tcW w:w="3293" w:type="dxa"/>
            <w:vAlign w:val="center"/>
          </w:tcPr>
          <w:p w14:paraId="59F60579">
            <w:pPr>
              <w:spacing w:line="400" w:lineRule="exact"/>
              <w:jc w:val="center"/>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模拟联合国智能交互终端</w:t>
            </w:r>
          </w:p>
        </w:tc>
        <w:tc>
          <w:tcPr>
            <w:tcW w:w="1077" w:type="dxa"/>
            <w:vAlign w:val="center"/>
          </w:tcPr>
          <w:p w14:paraId="6D219FFE">
            <w:pPr>
              <w:spacing w:line="400" w:lineRule="exact"/>
              <w:jc w:val="center"/>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1套</w:t>
            </w:r>
          </w:p>
        </w:tc>
        <w:tc>
          <w:tcPr>
            <w:tcW w:w="1712" w:type="dxa"/>
            <w:vAlign w:val="center"/>
          </w:tcPr>
          <w:p w14:paraId="3F5D72C7">
            <w:pPr>
              <w:widowControl/>
              <w:jc w:val="center"/>
              <w:textAlignment w:val="center"/>
              <w:rPr>
                <w:rFonts w:hint="eastAsia" w:ascii="宋体" w:hAnsi="宋体" w:eastAsia="宋体" w:cs="宋体"/>
                <w:b w:val="0"/>
                <w:bCs w:val="0"/>
                <w:color w:val="auto"/>
                <w:sz w:val="18"/>
                <w:szCs w:val="18"/>
              </w:rPr>
            </w:pPr>
            <w:r>
              <w:rPr>
                <w:rFonts w:hint="eastAsia" w:ascii="宋体" w:hAnsi="宋体" w:eastAsia="宋体" w:cs="宋体"/>
                <w:b w:val="0"/>
                <w:bCs w:val="0"/>
                <w:color w:val="auto"/>
                <w:kern w:val="0"/>
                <w:sz w:val="18"/>
                <w:szCs w:val="18"/>
              </w:rPr>
              <w:t>260000</w:t>
            </w:r>
          </w:p>
        </w:tc>
        <w:tc>
          <w:tcPr>
            <w:tcW w:w="1712" w:type="dxa"/>
            <w:vAlign w:val="center"/>
          </w:tcPr>
          <w:p w14:paraId="74827A0F">
            <w:pPr>
              <w:widowControl/>
              <w:jc w:val="center"/>
              <w:textAlignment w:val="center"/>
              <w:rPr>
                <w:rFonts w:hint="eastAsia" w:ascii="宋体" w:hAnsi="宋体" w:eastAsia="宋体" w:cs="宋体"/>
                <w:b w:val="0"/>
                <w:bCs w:val="0"/>
                <w:color w:val="auto"/>
                <w:kern w:val="0"/>
                <w:sz w:val="18"/>
                <w:szCs w:val="18"/>
              </w:rPr>
            </w:pPr>
            <w:r>
              <w:rPr>
                <w:rFonts w:hint="eastAsia" w:ascii="宋体" w:hAnsi="宋体" w:eastAsia="宋体" w:cs="宋体"/>
                <w:b w:val="0"/>
                <w:bCs w:val="0"/>
                <w:color w:val="auto"/>
                <w:kern w:val="0"/>
                <w:sz w:val="18"/>
                <w:szCs w:val="18"/>
              </w:rPr>
              <w:t>是</w:t>
            </w:r>
          </w:p>
        </w:tc>
      </w:tr>
      <w:tr w14:paraId="63805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762" w:type="dxa"/>
            <w:vAlign w:val="center"/>
          </w:tcPr>
          <w:p w14:paraId="5095ED65">
            <w:pPr>
              <w:spacing w:line="400" w:lineRule="exact"/>
              <w:jc w:val="center"/>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2</w:t>
            </w:r>
          </w:p>
        </w:tc>
        <w:tc>
          <w:tcPr>
            <w:tcW w:w="3293" w:type="dxa"/>
            <w:vAlign w:val="center"/>
          </w:tcPr>
          <w:p w14:paraId="167ABF49">
            <w:pPr>
              <w:spacing w:line="400" w:lineRule="exact"/>
              <w:jc w:val="center"/>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AI智能音视频采集系统</w:t>
            </w:r>
          </w:p>
        </w:tc>
        <w:tc>
          <w:tcPr>
            <w:tcW w:w="1077" w:type="dxa"/>
            <w:vAlign w:val="center"/>
          </w:tcPr>
          <w:p w14:paraId="7371E939">
            <w:pPr>
              <w:spacing w:line="400" w:lineRule="exact"/>
              <w:jc w:val="center"/>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1套</w:t>
            </w:r>
          </w:p>
        </w:tc>
        <w:tc>
          <w:tcPr>
            <w:tcW w:w="1712" w:type="dxa"/>
            <w:vAlign w:val="center"/>
          </w:tcPr>
          <w:p w14:paraId="20262BCD">
            <w:pPr>
              <w:widowControl/>
              <w:jc w:val="center"/>
              <w:textAlignment w:val="center"/>
              <w:rPr>
                <w:rFonts w:hint="eastAsia" w:ascii="宋体" w:hAnsi="宋体" w:eastAsia="宋体" w:cs="宋体"/>
                <w:b w:val="0"/>
                <w:bCs w:val="0"/>
                <w:color w:val="auto"/>
                <w:sz w:val="18"/>
                <w:szCs w:val="18"/>
              </w:rPr>
            </w:pPr>
            <w:r>
              <w:rPr>
                <w:rFonts w:hint="eastAsia" w:ascii="宋体" w:hAnsi="宋体" w:eastAsia="宋体" w:cs="宋体"/>
                <w:b w:val="0"/>
                <w:bCs w:val="0"/>
                <w:color w:val="auto"/>
                <w:kern w:val="0"/>
                <w:sz w:val="18"/>
                <w:szCs w:val="18"/>
              </w:rPr>
              <w:t>62000</w:t>
            </w:r>
          </w:p>
        </w:tc>
        <w:tc>
          <w:tcPr>
            <w:tcW w:w="1712" w:type="dxa"/>
            <w:vAlign w:val="center"/>
          </w:tcPr>
          <w:p w14:paraId="1031B7EC">
            <w:pPr>
              <w:widowControl/>
              <w:jc w:val="center"/>
              <w:textAlignment w:val="center"/>
              <w:rPr>
                <w:rFonts w:hint="eastAsia" w:ascii="宋体" w:hAnsi="宋体" w:eastAsia="宋体" w:cs="宋体"/>
                <w:b w:val="0"/>
                <w:bCs w:val="0"/>
                <w:color w:val="auto"/>
                <w:kern w:val="0"/>
                <w:sz w:val="18"/>
                <w:szCs w:val="18"/>
              </w:rPr>
            </w:pPr>
            <w:r>
              <w:rPr>
                <w:rFonts w:hint="eastAsia" w:ascii="宋体" w:hAnsi="宋体" w:eastAsia="宋体" w:cs="宋体"/>
                <w:b w:val="0"/>
                <w:bCs w:val="0"/>
                <w:color w:val="auto"/>
                <w:kern w:val="0"/>
                <w:sz w:val="18"/>
                <w:szCs w:val="18"/>
              </w:rPr>
              <w:t>否</w:t>
            </w:r>
          </w:p>
        </w:tc>
      </w:tr>
      <w:tr w14:paraId="74F13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762" w:type="dxa"/>
            <w:vAlign w:val="center"/>
          </w:tcPr>
          <w:p w14:paraId="4182A24F">
            <w:pPr>
              <w:spacing w:line="400" w:lineRule="exact"/>
              <w:jc w:val="center"/>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3</w:t>
            </w:r>
          </w:p>
        </w:tc>
        <w:tc>
          <w:tcPr>
            <w:tcW w:w="3293" w:type="dxa"/>
            <w:vAlign w:val="center"/>
          </w:tcPr>
          <w:p w14:paraId="052455D7">
            <w:pPr>
              <w:spacing w:line="400" w:lineRule="exact"/>
              <w:jc w:val="center"/>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模拟联合国虚拟仿真实训系统</w:t>
            </w:r>
          </w:p>
        </w:tc>
        <w:tc>
          <w:tcPr>
            <w:tcW w:w="1077" w:type="dxa"/>
            <w:vAlign w:val="center"/>
          </w:tcPr>
          <w:p w14:paraId="69C445F4">
            <w:pPr>
              <w:spacing w:line="400" w:lineRule="exact"/>
              <w:jc w:val="center"/>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1台</w:t>
            </w:r>
          </w:p>
        </w:tc>
        <w:tc>
          <w:tcPr>
            <w:tcW w:w="1712" w:type="dxa"/>
            <w:vAlign w:val="center"/>
          </w:tcPr>
          <w:p w14:paraId="07274ABB">
            <w:pPr>
              <w:widowControl/>
              <w:jc w:val="center"/>
              <w:textAlignment w:val="center"/>
              <w:rPr>
                <w:rFonts w:hint="eastAsia" w:ascii="宋体" w:hAnsi="宋体" w:eastAsia="宋体" w:cs="宋体"/>
                <w:b w:val="0"/>
                <w:bCs w:val="0"/>
                <w:color w:val="auto"/>
                <w:sz w:val="18"/>
                <w:szCs w:val="18"/>
              </w:rPr>
            </w:pPr>
            <w:r>
              <w:rPr>
                <w:rFonts w:hint="eastAsia" w:ascii="宋体" w:hAnsi="宋体" w:eastAsia="宋体" w:cs="宋体"/>
                <w:b w:val="0"/>
                <w:bCs w:val="0"/>
                <w:color w:val="auto"/>
                <w:kern w:val="0"/>
                <w:sz w:val="18"/>
                <w:szCs w:val="18"/>
              </w:rPr>
              <w:t>153000</w:t>
            </w:r>
          </w:p>
        </w:tc>
        <w:tc>
          <w:tcPr>
            <w:tcW w:w="1712" w:type="dxa"/>
            <w:vAlign w:val="center"/>
          </w:tcPr>
          <w:p w14:paraId="42AA3944">
            <w:pPr>
              <w:widowControl/>
              <w:jc w:val="center"/>
              <w:textAlignment w:val="center"/>
              <w:rPr>
                <w:rFonts w:hint="eastAsia" w:ascii="宋体" w:hAnsi="宋体" w:eastAsia="宋体" w:cs="宋体"/>
                <w:b w:val="0"/>
                <w:bCs w:val="0"/>
                <w:color w:val="auto"/>
                <w:kern w:val="0"/>
                <w:sz w:val="18"/>
                <w:szCs w:val="18"/>
              </w:rPr>
            </w:pPr>
            <w:r>
              <w:rPr>
                <w:rFonts w:hint="eastAsia" w:ascii="宋体" w:hAnsi="宋体" w:eastAsia="宋体" w:cs="宋体"/>
                <w:b w:val="0"/>
                <w:bCs w:val="0"/>
                <w:color w:val="auto"/>
                <w:kern w:val="0"/>
                <w:sz w:val="18"/>
                <w:szCs w:val="18"/>
              </w:rPr>
              <w:t>否</w:t>
            </w:r>
          </w:p>
        </w:tc>
      </w:tr>
      <w:tr w14:paraId="35E30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762" w:type="dxa"/>
            <w:vAlign w:val="center"/>
          </w:tcPr>
          <w:p w14:paraId="477B766A">
            <w:pPr>
              <w:spacing w:line="400" w:lineRule="exact"/>
              <w:jc w:val="center"/>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4</w:t>
            </w:r>
          </w:p>
        </w:tc>
        <w:tc>
          <w:tcPr>
            <w:tcW w:w="3293" w:type="dxa"/>
            <w:vAlign w:val="center"/>
          </w:tcPr>
          <w:p w14:paraId="484F9272">
            <w:pPr>
              <w:spacing w:line="400" w:lineRule="exact"/>
              <w:jc w:val="center"/>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虚拟仿真数据交换与能源控制部件</w:t>
            </w:r>
          </w:p>
        </w:tc>
        <w:tc>
          <w:tcPr>
            <w:tcW w:w="1077" w:type="dxa"/>
            <w:vAlign w:val="center"/>
          </w:tcPr>
          <w:p w14:paraId="022515B0">
            <w:pPr>
              <w:spacing w:line="400" w:lineRule="exact"/>
              <w:jc w:val="center"/>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1套</w:t>
            </w:r>
          </w:p>
        </w:tc>
        <w:tc>
          <w:tcPr>
            <w:tcW w:w="1712" w:type="dxa"/>
            <w:vAlign w:val="center"/>
          </w:tcPr>
          <w:p w14:paraId="025D7827">
            <w:pPr>
              <w:widowControl/>
              <w:jc w:val="center"/>
              <w:textAlignment w:val="center"/>
              <w:rPr>
                <w:rFonts w:hint="eastAsia" w:ascii="宋体" w:hAnsi="宋体" w:eastAsia="宋体" w:cs="宋体"/>
                <w:b w:val="0"/>
                <w:bCs w:val="0"/>
                <w:color w:val="auto"/>
                <w:sz w:val="18"/>
                <w:szCs w:val="18"/>
              </w:rPr>
            </w:pPr>
            <w:r>
              <w:rPr>
                <w:rFonts w:hint="eastAsia" w:ascii="宋体" w:hAnsi="宋体" w:eastAsia="宋体" w:cs="宋体"/>
                <w:b w:val="0"/>
                <w:bCs w:val="0"/>
                <w:color w:val="auto"/>
                <w:kern w:val="0"/>
                <w:sz w:val="18"/>
                <w:szCs w:val="18"/>
              </w:rPr>
              <w:t>55000</w:t>
            </w:r>
          </w:p>
        </w:tc>
        <w:tc>
          <w:tcPr>
            <w:tcW w:w="1712" w:type="dxa"/>
            <w:vAlign w:val="center"/>
          </w:tcPr>
          <w:p w14:paraId="096DEDE5">
            <w:pPr>
              <w:widowControl/>
              <w:jc w:val="center"/>
              <w:textAlignment w:val="center"/>
              <w:rPr>
                <w:rFonts w:hint="eastAsia" w:ascii="宋体" w:hAnsi="宋体" w:eastAsia="宋体" w:cs="宋体"/>
                <w:b w:val="0"/>
                <w:bCs w:val="0"/>
                <w:color w:val="auto"/>
                <w:kern w:val="0"/>
                <w:sz w:val="18"/>
                <w:szCs w:val="18"/>
              </w:rPr>
            </w:pPr>
            <w:r>
              <w:rPr>
                <w:rFonts w:hint="eastAsia" w:ascii="宋体" w:hAnsi="宋体" w:eastAsia="宋体" w:cs="宋体"/>
                <w:b w:val="0"/>
                <w:bCs w:val="0"/>
                <w:color w:val="auto"/>
                <w:kern w:val="0"/>
                <w:sz w:val="18"/>
                <w:szCs w:val="18"/>
              </w:rPr>
              <w:t>否</w:t>
            </w:r>
          </w:p>
        </w:tc>
      </w:tr>
      <w:tr w14:paraId="608D2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762" w:type="dxa"/>
            <w:vAlign w:val="center"/>
          </w:tcPr>
          <w:p w14:paraId="09BC7ED8">
            <w:pPr>
              <w:spacing w:line="400" w:lineRule="exact"/>
              <w:jc w:val="center"/>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5</w:t>
            </w:r>
          </w:p>
        </w:tc>
        <w:tc>
          <w:tcPr>
            <w:tcW w:w="3293" w:type="dxa"/>
            <w:vAlign w:val="center"/>
          </w:tcPr>
          <w:p w14:paraId="12135074">
            <w:pPr>
              <w:spacing w:line="400" w:lineRule="exact"/>
              <w:jc w:val="center"/>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联合国磋商虚拟仿真实验</w:t>
            </w:r>
          </w:p>
        </w:tc>
        <w:tc>
          <w:tcPr>
            <w:tcW w:w="1077" w:type="dxa"/>
            <w:vAlign w:val="center"/>
          </w:tcPr>
          <w:p w14:paraId="3BE534EE">
            <w:pPr>
              <w:spacing w:line="400" w:lineRule="exact"/>
              <w:jc w:val="center"/>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1套</w:t>
            </w:r>
          </w:p>
        </w:tc>
        <w:tc>
          <w:tcPr>
            <w:tcW w:w="1712" w:type="dxa"/>
            <w:vAlign w:val="center"/>
          </w:tcPr>
          <w:p w14:paraId="41223C31">
            <w:pPr>
              <w:widowControl/>
              <w:jc w:val="center"/>
              <w:textAlignment w:val="center"/>
              <w:rPr>
                <w:rFonts w:hint="eastAsia" w:ascii="宋体" w:hAnsi="宋体" w:eastAsia="宋体" w:cs="宋体"/>
                <w:b w:val="0"/>
                <w:bCs w:val="0"/>
                <w:color w:val="auto"/>
                <w:sz w:val="18"/>
                <w:szCs w:val="18"/>
              </w:rPr>
            </w:pPr>
            <w:r>
              <w:rPr>
                <w:rFonts w:hint="eastAsia" w:ascii="宋体" w:hAnsi="宋体" w:eastAsia="宋体" w:cs="宋体"/>
                <w:b w:val="0"/>
                <w:bCs w:val="0"/>
                <w:color w:val="auto"/>
                <w:kern w:val="0"/>
                <w:sz w:val="18"/>
                <w:szCs w:val="18"/>
              </w:rPr>
              <w:t>150000</w:t>
            </w:r>
          </w:p>
        </w:tc>
        <w:tc>
          <w:tcPr>
            <w:tcW w:w="1712" w:type="dxa"/>
            <w:vAlign w:val="center"/>
          </w:tcPr>
          <w:p w14:paraId="46F770CA">
            <w:pPr>
              <w:widowControl/>
              <w:jc w:val="center"/>
              <w:textAlignment w:val="center"/>
              <w:rPr>
                <w:rFonts w:hint="eastAsia" w:ascii="宋体" w:hAnsi="宋体" w:eastAsia="宋体" w:cs="宋体"/>
                <w:b w:val="0"/>
                <w:bCs w:val="0"/>
                <w:color w:val="auto"/>
                <w:kern w:val="0"/>
                <w:sz w:val="18"/>
                <w:szCs w:val="18"/>
              </w:rPr>
            </w:pPr>
            <w:r>
              <w:rPr>
                <w:rFonts w:hint="eastAsia" w:ascii="宋体" w:hAnsi="宋体" w:eastAsia="宋体" w:cs="宋体"/>
                <w:b w:val="0"/>
                <w:bCs w:val="0"/>
                <w:color w:val="auto"/>
                <w:kern w:val="0"/>
                <w:sz w:val="18"/>
                <w:szCs w:val="18"/>
              </w:rPr>
              <w:t>是</w:t>
            </w:r>
          </w:p>
        </w:tc>
      </w:tr>
      <w:bookmarkEnd w:id="1"/>
    </w:tbl>
    <w:p w14:paraId="440865D8">
      <w:pPr>
        <w:pStyle w:val="8"/>
        <w:numPr>
          <w:ilvl w:val="-1"/>
          <w:numId w:val="0"/>
        </w:numPr>
        <w:jc w:val="left"/>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二、技术参数</w:t>
      </w:r>
    </w:p>
    <w:tbl>
      <w:tblPr>
        <w:tblStyle w:val="4"/>
        <w:tblW w:w="82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8"/>
        <w:gridCol w:w="841"/>
        <w:gridCol w:w="7029"/>
      </w:tblGrid>
      <w:tr w14:paraId="4CD3C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1D799C02">
            <w:pPr>
              <w:spacing w:line="400" w:lineRule="exact"/>
              <w:jc w:val="left"/>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序号</w:t>
            </w:r>
          </w:p>
        </w:tc>
        <w:tc>
          <w:tcPr>
            <w:tcW w:w="0" w:type="auto"/>
            <w:shd w:val="clear" w:color="auto" w:fill="auto"/>
            <w:vAlign w:val="center"/>
          </w:tcPr>
          <w:p w14:paraId="70632975">
            <w:pPr>
              <w:spacing w:line="400" w:lineRule="exact"/>
              <w:jc w:val="left"/>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货物名称</w:t>
            </w:r>
          </w:p>
        </w:tc>
        <w:tc>
          <w:tcPr>
            <w:tcW w:w="0" w:type="auto"/>
            <w:shd w:val="clear" w:color="auto" w:fill="auto"/>
            <w:vAlign w:val="center"/>
          </w:tcPr>
          <w:p w14:paraId="5D1C9F8E">
            <w:pPr>
              <w:spacing w:line="400" w:lineRule="exact"/>
              <w:jc w:val="left"/>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技术参数</w:t>
            </w:r>
          </w:p>
        </w:tc>
      </w:tr>
      <w:tr w14:paraId="20E56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738096EC">
            <w:pPr>
              <w:spacing w:line="400" w:lineRule="exact"/>
              <w:jc w:val="left"/>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1</w:t>
            </w:r>
          </w:p>
        </w:tc>
        <w:tc>
          <w:tcPr>
            <w:tcW w:w="0" w:type="auto"/>
            <w:shd w:val="clear" w:color="auto" w:fill="auto"/>
            <w:vAlign w:val="center"/>
          </w:tcPr>
          <w:p w14:paraId="6952D47A">
            <w:pPr>
              <w:widowControl/>
              <w:jc w:val="left"/>
              <w:textAlignment w:val="center"/>
              <w:rPr>
                <w:rFonts w:hint="eastAsia" w:ascii="宋体" w:hAnsi="宋体" w:eastAsia="宋体" w:cs="宋体"/>
                <w:b w:val="0"/>
                <w:bCs w:val="0"/>
                <w:color w:val="auto"/>
                <w:sz w:val="18"/>
                <w:szCs w:val="18"/>
              </w:rPr>
            </w:pPr>
            <w:r>
              <w:rPr>
                <w:rFonts w:hint="eastAsia" w:ascii="宋体" w:hAnsi="宋体" w:eastAsia="宋体" w:cs="宋体"/>
                <w:b w:val="0"/>
                <w:bCs w:val="0"/>
                <w:color w:val="auto"/>
                <w:kern w:val="0"/>
                <w:sz w:val="18"/>
                <w:szCs w:val="18"/>
              </w:rPr>
              <w:t>模拟联合国智能交互终端</w:t>
            </w:r>
          </w:p>
        </w:tc>
        <w:tc>
          <w:tcPr>
            <w:tcW w:w="0" w:type="auto"/>
            <w:shd w:val="clear" w:color="auto" w:fill="auto"/>
            <w:vAlign w:val="center"/>
          </w:tcPr>
          <w:p w14:paraId="421DFFEF">
            <w:pPr>
              <w:widowControl/>
              <w:jc w:val="left"/>
              <w:textAlignment w:val="center"/>
              <w:rPr>
                <w:rFonts w:hint="eastAsia" w:ascii="宋体" w:hAnsi="宋体" w:eastAsia="宋体" w:cs="宋体"/>
                <w:b w:val="0"/>
                <w:bCs w:val="0"/>
                <w:color w:val="auto"/>
                <w:kern w:val="0"/>
                <w:sz w:val="18"/>
                <w:szCs w:val="18"/>
              </w:rPr>
            </w:pPr>
            <w:r>
              <w:rPr>
                <w:rFonts w:hint="eastAsia" w:ascii="宋体" w:hAnsi="宋体" w:eastAsia="宋体" w:cs="宋体"/>
                <w:b w:val="0"/>
                <w:bCs w:val="0"/>
                <w:color w:val="auto"/>
                <w:kern w:val="0"/>
                <w:sz w:val="18"/>
                <w:szCs w:val="18"/>
              </w:rPr>
              <w:t>1.智能交互终端显示屏尺寸宽≥7m；高≥4m；像素间距≤1.9mm；像素点密度：≥280000点/㎡；灰度等级：≥8 bit；亮度均匀性：≥95%；</w:t>
            </w:r>
            <w:r>
              <w:rPr>
                <w:rFonts w:hint="eastAsia" w:ascii="宋体" w:hAnsi="宋体" w:eastAsia="宋体" w:cs="宋体"/>
                <w:b w:val="0"/>
                <w:bCs w:val="0"/>
                <w:color w:val="auto"/>
                <w:kern w:val="0"/>
                <w:sz w:val="18"/>
                <w:szCs w:val="18"/>
              </w:rPr>
              <w:br w:type="textWrapping"/>
            </w:r>
            <w:r>
              <w:rPr>
                <w:rFonts w:hint="eastAsia" w:ascii="宋体" w:hAnsi="宋体" w:eastAsia="宋体" w:cs="宋体"/>
                <w:b w:val="0"/>
                <w:bCs w:val="0"/>
                <w:color w:val="auto"/>
                <w:kern w:val="0"/>
                <w:sz w:val="18"/>
                <w:szCs w:val="18"/>
              </w:rPr>
              <w:t>▲2.刷新频率：≥3840Hz；亮度：≥500cd/㎡；水平视角：≥140°；垂直视角：≥140°；最大对比度：≥6000:1；提供相关证明材料（产品认证证书、检测报告、产品彩页、产品说明书、官网和功能截图等复印件加盖公章）其中任意一项即可。</w:t>
            </w:r>
          </w:p>
          <w:p w14:paraId="41F91C78">
            <w:pPr>
              <w:widowControl/>
              <w:jc w:val="left"/>
              <w:textAlignment w:val="center"/>
              <w:rPr>
                <w:rFonts w:hint="eastAsia" w:ascii="宋体" w:hAnsi="宋体" w:eastAsia="宋体" w:cs="宋体"/>
                <w:b w:val="0"/>
                <w:bCs w:val="0"/>
                <w:color w:val="auto"/>
                <w:sz w:val="18"/>
                <w:szCs w:val="18"/>
              </w:rPr>
            </w:pPr>
            <w:r>
              <w:rPr>
                <w:rFonts w:hint="eastAsia" w:ascii="宋体" w:hAnsi="宋体" w:eastAsia="宋体" w:cs="宋体"/>
                <w:b w:val="0"/>
                <w:bCs w:val="0"/>
                <w:color w:val="auto"/>
                <w:kern w:val="0"/>
                <w:sz w:val="18"/>
                <w:szCs w:val="18"/>
              </w:rPr>
              <w:t>3.平均失效间隔工作时间（MTBF)：≥100000h；</w:t>
            </w:r>
            <w:r>
              <w:rPr>
                <w:rFonts w:hint="eastAsia" w:ascii="宋体" w:hAnsi="宋体" w:eastAsia="宋体" w:cs="宋体"/>
                <w:b w:val="0"/>
                <w:bCs w:val="0"/>
                <w:color w:val="auto"/>
                <w:kern w:val="0"/>
                <w:sz w:val="18"/>
                <w:szCs w:val="18"/>
              </w:rPr>
              <w:br w:type="textWrapping"/>
            </w:r>
            <w:r>
              <w:rPr>
                <w:rFonts w:hint="eastAsia" w:ascii="宋体" w:hAnsi="宋体" w:eastAsia="宋体" w:cs="宋体"/>
                <w:b w:val="0"/>
                <w:bCs w:val="0"/>
                <w:color w:val="auto"/>
                <w:kern w:val="0"/>
                <w:sz w:val="18"/>
                <w:szCs w:val="18"/>
              </w:rPr>
              <w:t>4.配套媒体服务主机采用≥20核，≥2.5GHz频率的处理器，具备≥16GB*2内存，硬盘≥1TB+2TB（SSD）；USB端口≥8个、type-c接口≥2个、音频输入接口≥1个，音频输出接口≥1个；网口≥1个；电源≥1000W；内含高性能处理器显卡，显存≥16GB，显存位宽≥256位、输出接口：≥4个DP或HDMI；</w:t>
            </w:r>
            <w:r>
              <w:rPr>
                <w:rFonts w:hint="eastAsia" w:ascii="宋体" w:hAnsi="宋体" w:eastAsia="宋体" w:cs="宋体"/>
                <w:b w:val="0"/>
                <w:bCs w:val="0"/>
                <w:color w:val="auto"/>
                <w:kern w:val="0"/>
                <w:sz w:val="18"/>
                <w:szCs w:val="18"/>
              </w:rPr>
              <w:br w:type="textWrapping"/>
            </w:r>
            <w:r>
              <w:rPr>
                <w:rFonts w:hint="eastAsia" w:ascii="宋体" w:hAnsi="宋体" w:eastAsia="宋体" w:cs="宋体"/>
                <w:b w:val="0"/>
                <w:bCs w:val="0"/>
                <w:color w:val="auto"/>
                <w:kern w:val="0"/>
                <w:sz w:val="18"/>
                <w:szCs w:val="18"/>
              </w:rPr>
              <w:t>5.包含配套安装支架，电气配电箱；拆旧装新。</w:t>
            </w:r>
          </w:p>
        </w:tc>
      </w:tr>
      <w:tr w14:paraId="1F1A0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6D119AB7">
            <w:pPr>
              <w:spacing w:line="400" w:lineRule="exact"/>
              <w:jc w:val="left"/>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2</w:t>
            </w:r>
          </w:p>
        </w:tc>
        <w:tc>
          <w:tcPr>
            <w:tcW w:w="0" w:type="auto"/>
            <w:vAlign w:val="center"/>
          </w:tcPr>
          <w:p w14:paraId="4859AECC">
            <w:pPr>
              <w:widowControl/>
              <w:jc w:val="left"/>
              <w:textAlignment w:val="center"/>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AI智能音视频采集系统</w:t>
            </w:r>
          </w:p>
        </w:tc>
        <w:tc>
          <w:tcPr>
            <w:tcW w:w="0" w:type="auto"/>
            <w:vAlign w:val="center"/>
          </w:tcPr>
          <w:p w14:paraId="2D0AE106">
            <w:pPr>
              <w:widowControl/>
              <w:spacing w:after="160" w:line="278" w:lineRule="auto"/>
              <w:jc w:val="left"/>
              <w:textAlignment w:val="center"/>
              <w:rPr>
                <w:rStyle w:val="9"/>
                <w:rFonts w:hint="eastAsia" w:ascii="宋体" w:hAnsi="宋体" w:eastAsia="宋体" w:cs="宋体"/>
                <w:b w:val="0"/>
                <w:bCs w:val="0"/>
                <w:color w:val="auto"/>
                <w:sz w:val="18"/>
                <w:szCs w:val="18"/>
              </w:rPr>
            </w:pPr>
            <w:r>
              <w:rPr>
                <w:rFonts w:hint="eastAsia" w:ascii="宋体" w:hAnsi="宋体" w:eastAsia="宋体" w:cs="宋体"/>
                <w:b w:val="0"/>
                <w:bCs w:val="0"/>
                <w:color w:val="auto"/>
                <w:kern w:val="0"/>
                <w:sz w:val="18"/>
                <w:szCs w:val="18"/>
              </w:rPr>
              <w:t>1.教师视频采集器≥1台，内置识别跟踪算法，传感器尺寸≥1/2.8英寸,有效像素≥200万；光学变焦≥20倍；具备骨骼关键点板书检测、身高自适应、转身跟踪能力，支持≥8个屏蔽区域；支持≥1080P@60fps编码输出；支持宽动态范围；支持图像2D和3D降噪；支持PoE供电；</w:t>
            </w:r>
            <w:r>
              <w:rPr>
                <w:rFonts w:hint="eastAsia" w:ascii="宋体" w:hAnsi="宋体" w:eastAsia="宋体" w:cs="宋体"/>
                <w:b w:val="0"/>
                <w:bCs w:val="0"/>
                <w:color w:val="auto"/>
                <w:kern w:val="0"/>
                <w:sz w:val="18"/>
                <w:szCs w:val="18"/>
              </w:rPr>
              <w:br w:type="textWrapping"/>
            </w:r>
            <w:r>
              <w:rPr>
                <w:rFonts w:hint="eastAsia" w:ascii="宋体" w:hAnsi="宋体" w:eastAsia="宋体" w:cs="宋体"/>
                <w:b w:val="0"/>
                <w:bCs w:val="0"/>
                <w:color w:val="auto"/>
                <w:kern w:val="0"/>
                <w:sz w:val="18"/>
                <w:szCs w:val="18"/>
              </w:rPr>
              <w:t>▲2.教师机支持全景视频和特写视频同时输出，支持≥4路网络视频流输出，支持≥1路视频支持自动导切视频输出；支持H.265/H.264/MJEPG三种视频编码标准，音频AAC编码标准；支持RTSP、RTMP、Onvif、网络协议；提供相关证明材料（产品认证证书、检测报告、产品彩页、产品说明书、官网和功能截图等复印件加盖公章）其中任意一项即可。</w:t>
            </w:r>
            <w:r>
              <w:rPr>
                <w:rFonts w:hint="eastAsia" w:ascii="宋体" w:hAnsi="宋体" w:eastAsia="宋体" w:cs="宋体"/>
                <w:b w:val="0"/>
                <w:bCs w:val="0"/>
                <w:color w:val="auto"/>
                <w:kern w:val="0"/>
                <w:sz w:val="18"/>
                <w:szCs w:val="18"/>
              </w:rPr>
              <w:br w:type="textWrapping"/>
            </w:r>
            <w:r>
              <w:rPr>
                <w:rFonts w:hint="eastAsia" w:ascii="宋体" w:hAnsi="宋体" w:eastAsia="宋体" w:cs="宋体"/>
                <w:b w:val="0"/>
                <w:bCs w:val="0"/>
                <w:color w:val="auto"/>
                <w:kern w:val="0"/>
                <w:sz w:val="18"/>
                <w:szCs w:val="18"/>
              </w:rPr>
              <w:t>3.学生视频采集器≥1台，采用深度学习算法，自动识别学生起立、举手等动作，规避打闹、趴卧等误判；≥20倍光学变焦，≥1080P@60fps编码输出；支持区域锁定跟踪，编码格式、传输协议、视频输出路数、接口规格、成像及供电功能同教师机，配备安装支架。</w:t>
            </w:r>
            <w:r>
              <w:rPr>
                <w:rFonts w:hint="eastAsia" w:ascii="宋体" w:hAnsi="宋体" w:eastAsia="宋体" w:cs="宋体"/>
                <w:b w:val="0"/>
                <w:bCs w:val="0"/>
                <w:color w:val="auto"/>
                <w:kern w:val="0"/>
                <w:sz w:val="18"/>
                <w:szCs w:val="18"/>
              </w:rPr>
              <w:br w:type="textWrapping"/>
            </w:r>
            <w:r>
              <w:rPr>
                <w:rFonts w:hint="eastAsia" w:ascii="宋体" w:hAnsi="宋体" w:eastAsia="宋体" w:cs="宋体"/>
                <w:b w:val="0"/>
                <w:bCs w:val="0"/>
                <w:color w:val="auto"/>
                <w:kern w:val="0"/>
                <w:sz w:val="18"/>
                <w:szCs w:val="18"/>
              </w:rPr>
              <w:t>▲4.学生机可根据教室的实际布局和需求灵活调整焦距，实现对不同区域的清晰拍摄，水平转动≥-130°~+130°，垂直转动≥-30°~+90°；接口具备LINE IN接口≥1个；RS-232IN接口≥1个；RS-232OUT接口≥1个；支持宽动态范围；支持图像2D和3D降噪；支持PoE供电提供相关证明材料（产品认证证书、检测报告、产品彩页、产品说明书、官网和</w:t>
            </w:r>
            <w:r>
              <w:rPr>
                <w:rStyle w:val="9"/>
                <w:rFonts w:ascii="宋体" w:hAnsi="宋体" w:eastAsia="宋体" w:cs="宋体"/>
                <w:b w:val="0"/>
                <w:bCs w:val="0"/>
                <w:color w:val="auto"/>
                <w:sz w:val="18"/>
                <w:szCs w:val="18"/>
              </w:rPr>
              <w:t>功能截图等复印件加盖公章）其中任意一项即可。</w:t>
            </w:r>
          </w:p>
          <w:p w14:paraId="6624EDC4">
            <w:pPr>
              <w:widowControl/>
              <w:spacing w:after="160" w:line="278" w:lineRule="auto"/>
              <w:jc w:val="left"/>
              <w:textAlignment w:val="center"/>
              <w:rPr>
                <w:rFonts w:hint="eastAsia" w:ascii="宋体" w:hAnsi="宋体" w:eastAsia="宋体" w:cs="宋体"/>
                <w:b w:val="0"/>
                <w:bCs w:val="0"/>
                <w:color w:val="auto"/>
                <w:kern w:val="0"/>
                <w:sz w:val="18"/>
                <w:szCs w:val="18"/>
              </w:rPr>
            </w:pPr>
            <w:r>
              <w:rPr>
                <w:rStyle w:val="9"/>
                <w:rFonts w:ascii="宋体" w:hAnsi="宋体" w:eastAsia="宋体" w:cs="宋体"/>
                <w:b w:val="0"/>
                <w:bCs w:val="0"/>
                <w:color w:val="auto"/>
                <w:sz w:val="18"/>
                <w:szCs w:val="18"/>
              </w:rPr>
              <w:t>5.无线收音模块采用≥1套单通道手持无线麦克风和1套单通道腰包无线麦克风，支持频率610-670MHz，含接收主机+话筒，搭载PLL振荡电路，支持红外自动对频，≥3000可调频道、≥8个预设组，具备自动搜频、一键锁定功能，频率响应60Hz-15KHz。</w:t>
            </w:r>
            <w:r>
              <w:rPr>
                <w:rStyle w:val="9"/>
                <w:rFonts w:ascii="宋体" w:hAnsi="宋体" w:eastAsia="宋体" w:cs="宋体"/>
                <w:b w:val="0"/>
                <w:bCs w:val="0"/>
                <w:color w:val="auto"/>
                <w:sz w:val="18"/>
                <w:szCs w:val="18"/>
              </w:rPr>
              <w:br w:type="textWrapping"/>
            </w:r>
            <w:r>
              <w:rPr>
                <w:rStyle w:val="9"/>
                <w:rFonts w:ascii="宋体" w:hAnsi="宋体" w:eastAsia="宋体" w:cs="宋体"/>
                <w:b w:val="0"/>
                <w:bCs w:val="0"/>
                <w:color w:val="auto"/>
                <w:sz w:val="18"/>
                <w:szCs w:val="18"/>
              </w:rPr>
              <w:t>6.无线模块支持UHF全频道天线分配器，频率450MHz-970MHz，阻抗≥50欧姆；可转接多台接收机，内置配电模块，支持≥16个天线通道端口。</w:t>
            </w:r>
            <w:r>
              <w:rPr>
                <w:rStyle w:val="9"/>
                <w:rFonts w:ascii="宋体" w:hAnsi="宋体" w:eastAsia="宋体" w:cs="宋体"/>
                <w:b w:val="0"/>
                <w:bCs w:val="0"/>
                <w:color w:val="auto"/>
                <w:sz w:val="18"/>
                <w:szCs w:val="18"/>
              </w:rPr>
              <w:br w:type="textWrapping"/>
            </w:r>
            <w:r>
              <w:rPr>
                <w:rStyle w:val="9"/>
                <w:rFonts w:ascii="宋体" w:hAnsi="宋体" w:eastAsia="宋体" w:cs="宋体"/>
                <w:b w:val="0"/>
                <w:bCs w:val="0"/>
                <w:color w:val="auto"/>
                <w:sz w:val="18"/>
                <w:szCs w:val="18"/>
              </w:rPr>
              <w:t>7.调音模块支持≥16路输入≥8路输出，搭载≥4英寸触控屏；采样率≥48KHz，内置多段均衡、噪声门、压限器等音效模块，支持延时调节；配备双USB接口，支持有线+无线多设备连接。</w:t>
            </w:r>
            <w:r>
              <w:rPr>
                <w:rStyle w:val="9"/>
                <w:rFonts w:ascii="宋体" w:hAnsi="宋体" w:eastAsia="宋体" w:cs="宋体"/>
                <w:b w:val="0"/>
                <w:bCs w:val="0"/>
                <w:color w:val="auto"/>
                <w:sz w:val="18"/>
                <w:szCs w:val="18"/>
              </w:rPr>
              <w:br w:type="textWrapping"/>
            </w:r>
            <w:r>
              <w:rPr>
                <w:rStyle w:val="9"/>
                <w:rFonts w:ascii="宋体" w:hAnsi="宋体" w:eastAsia="宋体" w:cs="宋体"/>
                <w:b w:val="0"/>
                <w:bCs w:val="0"/>
                <w:color w:val="auto"/>
                <w:sz w:val="18"/>
                <w:szCs w:val="18"/>
              </w:rPr>
              <w:t>8.音频处理模块采用≥8进≥8出模拟音频通道，集成≥2×2USB声卡；支持≥48V幻象电源、≥9级灵敏度调节，搭载反馈抑制、回声消除、噪声消除功能；内置多种音效处理模块，具备≥10×10矩阵混音、AMX自动混音功能；配备RS232、RS485、GPIO接口，支持摄像跟踪、参数加密锁定。</w:t>
            </w:r>
            <w:r>
              <w:rPr>
                <w:rStyle w:val="9"/>
                <w:rFonts w:ascii="宋体" w:hAnsi="宋体" w:eastAsia="宋体" w:cs="宋体"/>
                <w:b w:val="0"/>
                <w:bCs w:val="0"/>
                <w:color w:val="auto"/>
                <w:sz w:val="18"/>
                <w:szCs w:val="18"/>
              </w:rPr>
              <w:br w:type="textWrapping"/>
            </w:r>
            <w:r>
              <w:rPr>
                <w:rStyle w:val="9"/>
                <w:rFonts w:ascii="宋体" w:hAnsi="宋体" w:eastAsia="宋体" w:cs="宋体"/>
                <w:b w:val="0"/>
                <w:bCs w:val="0"/>
                <w:color w:val="auto"/>
                <w:sz w:val="18"/>
                <w:szCs w:val="18"/>
              </w:rPr>
              <w:t>9.双通道功放模块，支持</w:t>
            </w:r>
            <w:r>
              <w:rPr>
                <w:rFonts w:hint="eastAsia" w:ascii="宋体" w:hAnsi="宋体" w:eastAsia="宋体" w:cs="宋体"/>
                <w:b w:val="0"/>
                <w:bCs w:val="0"/>
                <w:color w:val="auto"/>
                <w:kern w:val="0"/>
                <w:sz w:val="18"/>
                <w:szCs w:val="18"/>
              </w:rPr>
              <w:t>8Ω立体声≥450W、4Ω立体声≥600W、8Ω桥接≥1000W；频响</w:t>
            </w:r>
            <w:r>
              <w:rPr>
                <w:rStyle w:val="9"/>
                <w:rFonts w:ascii="宋体" w:hAnsi="宋体" w:eastAsia="宋体" w:cs="宋体"/>
                <w:b w:val="0"/>
                <w:bCs w:val="0"/>
                <w:color w:val="auto"/>
                <w:sz w:val="18"/>
                <w:szCs w:val="18"/>
              </w:rPr>
              <w:t>≥</w:t>
            </w:r>
            <w:r>
              <w:rPr>
                <w:rFonts w:hint="eastAsia" w:ascii="宋体" w:hAnsi="宋体" w:eastAsia="宋体" w:cs="宋体"/>
                <w:b w:val="0"/>
                <w:bCs w:val="0"/>
                <w:color w:val="auto"/>
                <w:kern w:val="0"/>
                <w:sz w:val="18"/>
                <w:szCs w:val="18"/>
              </w:rPr>
              <w:t>20Hz-20kHz，信噪比≥100dB，具备标准平衡/非平衡输入阻抗。</w:t>
            </w:r>
            <w:r>
              <w:rPr>
                <w:rFonts w:hint="eastAsia" w:ascii="宋体" w:hAnsi="宋体" w:eastAsia="宋体" w:cs="宋体"/>
                <w:b w:val="0"/>
                <w:bCs w:val="0"/>
                <w:color w:val="auto"/>
                <w:kern w:val="0"/>
                <w:sz w:val="18"/>
                <w:szCs w:val="18"/>
              </w:rPr>
              <w:br w:type="textWrapping"/>
            </w:r>
            <w:r>
              <w:rPr>
                <w:rFonts w:hint="eastAsia" w:ascii="宋体" w:hAnsi="宋体" w:eastAsia="宋体" w:cs="宋体"/>
                <w:b w:val="0"/>
                <w:bCs w:val="0"/>
                <w:color w:val="auto"/>
                <w:kern w:val="0"/>
                <w:sz w:val="18"/>
                <w:szCs w:val="18"/>
              </w:rPr>
              <w:t>10.频响范围：65Hz-20KHz，灵敏度≥90dB，最大声压级≥120dB；阻抗≥8Ω，持续功率≥350W，峰值≥1400W，分频频率≥1.6KHz。</w:t>
            </w:r>
            <w:r>
              <w:rPr>
                <w:rFonts w:hint="eastAsia" w:ascii="宋体" w:hAnsi="宋体" w:eastAsia="宋体" w:cs="宋体"/>
                <w:b w:val="0"/>
                <w:bCs w:val="0"/>
                <w:color w:val="auto"/>
                <w:kern w:val="0"/>
                <w:sz w:val="18"/>
                <w:szCs w:val="18"/>
              </w:rPr>
              <w:br w:type="textWrapping"/>
            </w:r>
            <w:r>
              <w:rPr>
                <w:rFonts w:hint="eastAsia" w:ascii="宋体" w:hAnsi="宋体" w:eastAsia="宋体" w:cs="宋体"/>
                <w:b w:val="0"/>
                <w:bCs w:val="0"/>
                <w:color w:val="auto"/>
                <w:kern w:val="0"/>
                <w:sz w:val="18"/>
                <w:szCs w:val="18"/>
              </w:rPr>
              <w:t>11.时序电源模块，≥8路独立时序通道，自带电源滤波器；配备多路通讯接口，定时开关机；时序延时可自定义，电源输出单相总极限负载的电流为≥40A。</w:t>
            </w:r>
            <w:r>
              <w:rPr>
                <w:rFonts w:hint="eastAsia" w:ascii="宋体" w:hAnsi="宋体" w:eastAsia="宋体" w:cs="宋体"/>
                <w:b w:val="0"/>
                <w:bCs w:val="0"/>
                <w:color w:val="auto"/>
                <w:kern w:val="0"/>
                <w:sz w:val="18"/>
                <w:szCs w:val="18"/>
              </w:rPr>
              <w:br w:type="textWrapping"/>
            </w:r>
            <w:r>
              <w:rPr>
                <w:rFonts w:hint="eastAsia" w:ascii="宋体" w:hAnsi="宋体" w:eastAsia="宋体" w:cs="宋体"/>
                <w:b w:val="0"/>
                <w:bCs w:val="0"/>
                <w:color w:val="auto"/>
                <w:kern w:val="0"/>
                <w:sz w:val="18"/>
                <w:szCs w:val="18"/>
              </w:rPr>
              <w:t>12.支持课程离线录制功能，录制画面可完整覆盖老师、学生、课件及板书等各类场景内容；支持1080P高清录制，可选MP4、FLV等格式，具备断电异常恢复功能；支持多画面融合、特效切换；自定义码率、存储路径，可添加标识；同步输出独立视频文件与RTMP直播流，支持局域网网页管理视频文件。</w:t>
            </w:r>
            <w:r>
              <w:rPr>
                <w:rFonts w:hint="eastAsia" w:ascii="宋体" w:hAnsi="宋体" w:eastAsia="宋体" w:cs="宋体"/>
                <w:b w:val="0"/>
                <w:bCs w:val="0"/>
                <w:color w:val="auto"/>
                <w:kern w:val="0"/>
                <w:sz w:val="18"/>
                <w:szCs w:val="18"/>
              </w:rPr>
              <w:br w:type="textWrapping"/>
            </w:r>
            <w:r>
              <w:rPr>
                <w:rFonts w:hint="eastAsia" w:ascii="宋体" w:hAnsi="宋体" w:eastAsia="宋体" w:cs="宋体"/>
                <w:b w:val="0"/>
                <w:bCs w:val="0"/>
                <w:color w:val="auto"/>
                <w:kern w:val="0"/>
                <w:sz w:val="18"/>
                <w:szCs w:val="18"/>
              </w:rPr>
              <w:t>13.支持≥3路视频画面采集，支持多画面融合显示，融合模式包含但不限于老师+PPT画面、老师+学生画面、老师+PPT+学生画面等；</w:t>
            </w:r>
            <w:r>
              <w:rPr>
                <w:rFonts w:hint="eastAsia" w:ascii="宋体" w:hAnsi="宋体" w:eastAsia="宋体" w:cs="宋体"/>
                <w:b w:val="0"/>
                <w:bCs w:val="0"/>
                <w:color w:val="auto"/>
                <w:kern w:val="0"/>
                <w:sz w:val="18"/>
                <w:szCs w:val="18"/>
              </w:rPr>
              <w:br w:type="textWrapping"/>
            </w:r>
            <w:r>
              <w:rPr>
                <w:rFonts w:hint="eastAsia" w:ascii="宋体" w:hAnsi="宋体" w:eastAsia="宋体" w:cs="宋体"/>
                <w:b w:val="0"/>
                <w:bCs w:val="0"/>
                <w:color w:val="auto"/>
                <w:kern w:val="0"/>
                <w:sz w:val="18"/>
                <w:szCs w:val="18"/>
              </w:rPr>
              <w:t>14.支持录制同步推送≥1路RTMP直播流至网络直播平台；支持RTMP直播流地址自定义设置；支持RTMP直播分辨率</w:t>
            </w:r>
            <w:r>
              <w:rPr>
                <w:rStyle w:val="9"/>
                <w:rFonts w:ascii="宋体" w:hAnsi="宋体" w:eastAsia="宋体" w:cs="宋体"/>
                <w:b w:val="0"/>
                <w:bCs w:val="0"/>
                <w:color w:val="auto"/>
                <w:sz w:val="18"/>
                <w:szCs w:val="18"/>
              </w:rPr>
              <w:t>≥</w:t>
            </w:r>
            <w:r>
              <w:rPr>
                <w:rFonts w:hint="eastAsia" w:ascii="宋体" w:hAnsi="宋体" w:eastAsia="宋体" w:cs="宋体"/>
                <w:b w:val="0"/>
                <w:bCs w:val="0"/>
                <w:color w:val="auto"/>
                <w:kern w:val="0"/>
                <w:sz w:val="18"/>
                <w:szCs w:val="18"/>
              </w:rPr>
              <w:t>1920×1080P；</w:t>
            </w:r>
            <w:r>
              <w:rPr>
                <w:rFonts w:hint="eastAsia" w:ascii="宋体" w:hAnsi="宋体" w:eastAsia="宋体" w:cs="宋体"/>
                <w:b w:val="0"/>
                <w:bCs w:val="0"/>
                <w:color w:val="auto"/>
                <w:kern w:val="0"/>
                <w:sz w:val="18"/>
                <w:szCs w:val="18"/>
              </w:rPr>
              <w:br w:type="textWrapping"/>
            </w:r>
            <w:r>
              <w:rPr>
                <w:rFonts w:hint="eastAsia" w:ascii="宋体" w:hAnsi="宋体" w:eastAsia="宋体" w:cs="宋体"/>
                <w:b w:val="0"/>
                <w:bCs w:val="0"/>
                <w:color w:val="auto"/>
                <w:kern w:val="0"/>
                <w:sz w:val="18"/>
                <w:szCs w:val="18"/>
              </w:rPr>
              <w:t>15.支持画面切换多重特效可选；支持在录制视频中添加主讲人信息及logo文件标识；支持录制MIX视频时，同步录制老师、学生、课件三路独立视频文件；同一网段内，支持通过网页对本地录制路径中的视频进行预览、删除、下载操作。</w:t>
            </w:r>
          </w:p>
          <w:p w14:paraId="40B9FEDB">
            <w:pPr>
              <w:widowControl/>
              <w:jc w:val="left"/>
              <w:textAlignment w:val="center"/>
              <w:rPr>
                <w:rFonts w:hint="eastAsia" w:ascii="宋体" w:hAnsi="宋体" w:eastAsia="宋体" w:cs="宋体"/>
                <w:b w:val="0"/>
                <w:bCs w:val="0"/>
                <w:color w:val="auto"/>
                <w:sz w:val="18"/>
                <w:szCs w:val="18"/>
              </w:rPr>
            </w:pPr>
            <w:r>
              <w:rPr>
                <w:rFonts w:hint="eastAsia" w:ascii="宋体" w:hAnsi="宋体" w:eastAsia="宋体" w:cs="宋体"/>
                <w:b w:val="0"/>
                <w:bCs w:val="0"/>
                <w:color w:val="auto"/>
                <w:kern w:val="0"/>
                <w:sz w:val="18"/>
                <w:szCs w:val="18"/>
              </w:rPr>
              <w:t>16.前置摄像头1台（学生机），后置摄像头1台（老师机），手持无线麦克风1支，腰包无线麦克风1支。</w:t>
            </w:r>
          </w:p>
        </w:tc>
      </w:tr>
      <w:tr w14:paraId="5DDF2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0421A20B">
            <w:pPr>
              <w:spacing w:line="400" w:lineRule="exact"/>
              <w:jc w:val="left"/>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3</w:t>
            </w:r>
          </w:p>
        </w:tc>
        <w:tc>
          <w:tcPr>
            <w:tcW w:w="0" w:type="auto"/>
            <w:vAlign w:val="center"/>
          </w:tcPr>
          <w:p w14:paraId="53C8802D">
            <w:pPr>
              <w:widowControl/>
              <w:jc w:val="left"/>
              <w:textAlignment w:val="center"/>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模拟联合国虚拟仿真实训系统</w:t>
            </w:r>
          </w:p>
        </w:tc>
        <w:tc>
          <w:tcPr>
            <w:tcW w:w="0" w:type="auto"/>
            <w:vAlign w:val="center"/>
          </w:tcPr>
          <w:p w14:paraId="539CFE90">
            <w:pPr>
              <w:widowControl/>
              <w:jc w:val="left"/>
              <w:textAlignment w:val="center"/>
              <w:rPr>
                <w:rFonts w:hint="eastAsia" w:ascii="宋体" w:hAnsi="宋体" w:eastAsia="宋体" w:cs="宋体"/>
                <w:b w:val="0"/>
                <w:bCs w:val="0"/>
                <w:color w:val="auto"/>
                <w:kern w:val="0"/>
                <w:sz w:val="18"/>
                <w:szCs w:val="18"/>
              </w:rPr>
            </w:pPr>
            <w:r>
              <w:rPr>
                <w:rFonts w:hint="eastAsia" w:ascii="宋体" w:hAnsi="宋体" w:eastAsia="宋体" w:cs="宋体"/>
                <w:b w:val="0"/>
                <w:bCs w:val="0"/>
                <w:color w:val="auto"/>
                <w:kern w:val="0"/>
                <w:sz w:val="18"/>
                <w:szCs w:val="18"/>
              </w:rPr>
              <w:t>一.双屏智能操控台</w:t>
            </w:r>
          </w:p>
          <w:p w14:paraId="1AA7F592">
            <w:pPr>
              <w:widowControl/>
              <w:jc w:val="left"/>
              <w:textAlignment w:val="center"/>
              <w:rPr>
                <w:rFonts w:hint="eastAsia" w:ascii="宋体" w:hAnsi="宋体" w:eastAsia="宋体" w:cs="宋体"/>
                <w:b w:val="0"/>
                <w:bCs w:val="0"/>
                <w:color w:val="auto"/>
                <w:kern w:val="0"/>
                <w:sz w:val="18"/>
                <w:szCs w:val="18"/>
              </w:rPr>
            </w:pPr>
            <w:r>
              <w:rPr>
                <w:rFonts w:hint="eastAsia" w:ascii="宋体" w:hAnsi="宋体" w:eastAsia="宋体" w:cs="宋体"/>
                <w:b w:val="0"/>
                <w:bCs w:val="0"/>
                <w:color w:val="auto"/>
                <w:kern w:val="0"/>
                <w:sz w:val="18"/>
                <w:szCs w:val="18"/>
              </w:rPr>
              <w:t>（1）设备采用一体化双屏结构，书写屏≥23英寸全贴合，显示比例≥16:9，分辨率≥3840×2160，亮度≥250cd/m²，对比度≥1000:1，集成防眩光、防指纹、防反光功能。控制屏≥19英寸，显示比例≥16:3，分辨率≥1920×360；双屏固定夹角≥160°，书写屏、控制屏均支持电容+电磁双模触控，配无源电磁笔，具备笔帽擦除功能；配备≥2组USB3.0接口及≥1个专业卡侬麦克风物理开关接口。</w:t>
            </w:r>
            <w:r>
              <w:rPr>
                <w:rFonts w:hint="eastAsia" w:ascii="宋体" w:hAnsi="宋体" w:eastAsia="宋体" w:cs="宋体"/>
                <w:b w:val="0"/>
                <w:bCs w:val="0"/>
                <w:color w:val="auto"/>
                <w:kern w:val="0"/>
                <w:sz w:val="18"/>
                <w:szCs w:val="18"/>
              </w:rPr>
              <w:br w:type="textWrapping"/>
            </w:r>
            <w:r>
              <w:rPr>
                <w:rFonts w:hint="eastAsia" w:ascii="宋体" w:hAnsi="宋体" w:eastAsia="宋体" w:cs="宋体"/>
                <w:b w:val="0"/>
                <w:bCs w:val="0"/>
                <w:color w:val="auto"/>
                <w:kern w:val="0"/>
                <w:sz w:val="18"/>
                <w:szCs w:val="18"/>
              </w:rPr>
              <w:t>（2）多媒体集成智慧讲台采用工字形≥3mm厚板材结构，支持电动静音升降，升降行程≥200mm、台面倾角电动可调≥30°，运行噪音≤30dB；自带固定防倾倒结构，可联动终端调控升降倾角。</w:t>
            </w:r>
            <w:r>
              <w:rPr>
                <w:rFonts w:hint="eastAsia" w:ascii="宋体" w:hAnsi="宋体" w:eastAsia="宋体" w:cs="宋体"/>
                <w:b w:val="0"/>
                <w:bCs w:val="0"/>
                <w:color w:val="auto"/>
                <w:kern w:val="0"/>
                <w:sz w:val="18"/>
                <w:szCs w:val="18"/>
              </w:rPr>
              <w:br w:type="textWrapping"/>
            </w:r>
            <w:r>
              <w:rPr>
                <w:rFonts w:hint="eastAsia" w:ascii="宋体" w:hAnsi="宋体" w:eastAsia="宋体" w:cs="宋体"/>
                <w:b w:val="0"/>
                <w:bCs w:val="0"/>
                <w:color w:val="auto"/>
                <w:kern w:val="0"/>
                <w:sz w:val="18"/>
                <w:szCs w:val="18"/>
              </w:rPr>
              <w:t>（3）配套主机处理器≥20核≥28线程，内存≥16G×2，固态硬盘≥512G，集成核显，满足教学运行需求。</w:t>
            </w:r>
            <w:r>
              <w:rPr>
                <w:rFonts w:hint="eastAsia" w:ascii="宋体" w:hAnsi="宋体" w:eastAsia="宋体" w:cs="宋体"/>
                <w:b w:val="0"/>
                <w:bCs w:val="0"/>
                <w:color w:val="auto"/>
                <w:kern w:val="0"/>
                <w:sz w:val="18"/>
                <w:szCs w:val="18"/>
              </w:rPr>
              <w:br w:type="textWrapping"/>
            </w:r>
            <w:r>
              <w:rPr>
                <w:rFonts w:hint="eastAsia" w:ascii="宋体" w:hAnsi="宋体" w:eastAsia="宋体" w:cs="宋体"/>
                <w:b w:val="0"/>
                <w:bCs w:val="0"/>
                <w:color w:val="auto"/>
                <w:kern w:val="0"/>
                <w:sz w:val="18"/>
                <w:szCs w:val="18"/>
              </w:rPr>
              <w:t>（4）支持直播与实时互动功能，在直播视频中水印等信息标识。支持老师、学生、课件画面的切换。支持互动画面融合。</w:t>
            </w:r>
            <w:r>
              <w:rPr>
                <w:rFonts w:hint="eastAsia" w:ascii="宋体" w:hAnsi="宋体" w:eastAsia="宋体" w:cs="宋体"/>
                <w:b w:val="0"/>
                <w:bCs w:val="0"/>
                <w:color w:val="auto"/>
                <w:kern w:val="0"/>
                <w:sz w:val="18"/>
                <w:szCs w:val="18"/>
              </w:rPr>
              <w:br w:type="textWrapping"/>
            </w:r>
            <w:r>
              <w:rPr>
                <w:rFonts w:hint="eastAsia" w:ascii="宋体" w:hAnsi="宋体" w:eastAsia="宋体" w:cs="宋体"/>
                <w:b w:val="0"/>
                <w:bCs w:val="0"/>
                <w:color w:val="auto"/>
                <w:kern w:val="0"/>
                <w:sz w:val="18"/>
                <w:szCs w:val="18"/>
              </w:rPr>
              <w:t>（5）支持多种画笔工具选择，提供≥4种标准笔迹颜色及多级粗细调节功能，满足不同学科教学场景的板书需求，增强教学表现力；支持智能橡皮擦工具实现选择性笔迹擦除，配备操作回退功能，当发生误擦除时可快速恢复原始笔迹；支持书写板保存截图，保存的板书文件名称携带时间戳，方便教师后续快速检索；</w:t>
            </w:r>
            <w:r>
              <w:rPr>
                <w:rFonts w:hint="eastAsia" w:ascii="宋体" w:hAnsi="宋体" w:eastAsia="宋体" w:cs="宋体"/>
                <w:b w:val="0"/>
                <w:bCs w:val="0"/>
                <w:color w:val="auto"/>
                <w:kern w:val="0"/>
                <w:sz w:val="18"/>
                <w:szCs w:val="18"/>
              </w:rPr>
              <w:br w:type="textWrapping"/>
            </w:r>
            <w:r>
              <w:rPr>
                <w:rFonts w:hint="eastAsia" w:ascii="宋体" w:hAnsi="宋体" w:eastAsia="宋体" w:cs="宋体"/>
                <w:b w:val="0"/>
                <w:bCs w:val="0"/>
                <w:color w:val="auto"/>
                <w:kern w:val="0"/>
                <w:sz w:val="18"/>
                <w:szCs w:val="18"/>
              </w:rPr>
              <w:t>（6）支持工具栏响应手指操作，支持工具栏可折叠，提高显示宽度，增加沉浸感。支持汉字显示，提高认识度；</w:t>
            </w:r>
          </w:p>
          <w:p w14:paraId="15A61464">
            <w:pPr>
              <w:widowControl/>
              <w:jc w:val="left"/>
              <w:textAlignment w:val="center"/>
              <w:rPr>
                <w:rFonts w:hint="eastAsia" w:ascii="宋体" w:hAnsi="宋体" w:eastAsia="宋体" w:cs="宋体"/>
                <w:b w:val="0"/>
                <w:bCs w:val="0"/>
                <w:color w:val="auto"/>
                <w:sz w:val="18"/>
                <w:szCs w:val="18"/>
              </w:rPr>
            </w:pPr>
            <w:r>
              <w:rPr>
                <w:rFonts w:hint="eastAsia" w:ascii="宋体" w:hAnsi="宋体" w:eastAsia="宋体" w:cs="宋体"/>
                <w:b w:val="0"/>
                <w:bCs w:val="0"/>
                <w:color w:val="auto"/>
                <w:kern w:val="0"/>
                <w:sz w:val="18"/>
                <w:szCs w:val="18"/>
              </w:rPr>
              <w:t>二.智能控制终端</w:t>
            </w:r>
          </w:p>
          <w:p w14:paraId="36EB7449">
            <w:pPr>
              <w:widowControl/>
              <w:jc w:val="left"/>
              <w:textAlignment w:val="center"/>
              <w:rPr>
                <w:rFonts w:hint="eastAsia" w:ascii="宋体" w:hAnsi="宋体" w:eastAsia="宋体" w:cs="宋体"/>
                <w:b w:val="0"/>
                <w:bCs w:val="0"/>
                <w:color w:val="auto"/>
                <w:sz w:val="18"/>
                <w:szCs w:val="18"/>
              </w:rPr>
            </w:pPr>
            <w:r>
              <w:rPr>
                <w:rFonts w:hint="eastAsia" w:ascii="宋体" w:hAnsi="宋体" w:eastAsia="宋体" w:cs="宋体"/>
                <w:b w:val="0"/>
                <w:bCs w:val="0"/>
                <w:color w:val="auto"/>
                <w:kern w:val="0"/>
                <w:sz w:val="18"/>
                <w:szCs w:val="18"/>
              </w:rPr>
              <w:t>（1）一体化智能控制主机支持迷你机身，采用≥8核，主频≥2.0GHz，配置≥16G内存，≥512G固态硬盘；USB接口≥5个、Type-C接口≥1个、音视频出口≥1个、网口≥1个，支持12-19V直流供电。</w:t>
            </w:r>
            <w:r>
              <w:rPr>
                <w:rFonts w:hint="eastAsia" w:ascii="宋体" w:hAnsi="宋体" w:eastAsia="宋体" w:cs="宋体"/>
                <w:b w:val="0"/>
                <w:bCs w:val="0"/>
                <w:color w:val="auto"/>
                <w:kern w:val="0"/>
                <w:sz w:val="18"/>
                <w:szCs w:val="18"/>
              </w:rPr>
              <w:br w:type="textWrapping"/>
            </w:r>
            <w:r>
              <w:rPr>
                <w:rFonts w:hint="eastAsia" w:ascii="宋体" w:hAnsi="宋体" w:eastAsia="宋体" w:cs="宋体"/>
                <w:b w:val="0"/>
                <w:bCs w:val="0"/>
                <w:color w:val="auto"/>
                <w:kern w:val="0"/>
                <w:sz w:val="18"/>
                <w:szCs w:val="18"/>
              </w:rPr>
              <w:t>（2）中控面板尺寸≥10英寸，采用IPS多点触摸屏；分辨率≥1920×1200；亮度≥300cd/㎡；显示比例≥16:10；可视角度≥170°；支持PoE供电。</w:t>
            </w:r>
            <w:r>
              <w:rPr>
                <w:rFonts w:hint="eastAsia" w:ascii="宋体" w:hAnsi="宋体" w:eastAsia="宋体" w:cs="宋体"/>
                <w:b w:val="0"/>
                <w:bCs w:val="0"/>
                <w:color w:val="auto"/>
                <w:kern w:val="0"/>
                <w:sz w:val="18"/>
                <w:szCs w:val="18"/>
              </w:rPr>
              <w:br w:type="textWrapping"/>
            </w:r>
            <w:r>
              <w:rPr>
                <w:rFonts w:hint="eastAsia" w:ascii="宋体" w:hAnsi="宋体" w:eastAsia="宋体" w:cs="宋体"/>
                <w:b w:val="0"/>
                <w:bCs w:val="0"/>
                <w:color w:val="auto"/>
                <w:kern w:val="0"/>
                <w:sz w:val="18"/>
                <w:szCs w:val="18"/>
              </w:rPr>
              <w:t>（3）支持教室设备一键启停、按序开关机，实时显示设备运行状态，根据程序预定义的顺序，进行硬件设备的依次开关；具备故障提示。</w:t>
            </w:r>
          </w:p>
        </w:tc>
      </w:tr>
      <w:tr w14:paraId="477B1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4A458BFF">
            <w:pPr>
              <w:spacing w:line="400" w:lineRule="exact"/>
              <w:jc w:val="left"/>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4</w:t>
            </w:r>
          </w:p>
        </w:tc>
        <w:tc>
          <w:tcPr>
            <w:tcW w:w="0" w:type="auto"/>
            <w:vAlign w:val="center"/>
          </w:tcPr>
          <w:p w14:paraId="71C4B8D2">
            <w:pPr>
              <w:widowControl/>
              <w:jc w:val="left"/>
              <w:textAlignment w:val="center"/>
              <w:rPr>
                <w:rFonts w:hint="eastAsia" w:ascii="宋体" w:hAnsi="宋体" w:eastAsia="宋体" w:cs="宋体"/>
                <w:b w:val="0"/>
                <w:bCs w:val="0"/>
                <w:color w:val="auto"/>
                <w:sz w:val="18"/>
                <w:szCs w:val="18"/>
              </w:rPr>
            </w:pPr>
            <w:r>
              <w:rPr>
                <w:rFonts w:hint="eastAsia" w:ascii="宋体" w:hAnsi="宋体" w:eastAsia="宋体" w:cs="宋体"/>
                <w:b w:val="0"/>
                <w:bCs w:val="0"/>
                <w:color w:val="auto"/>
                <w:kern w:val="0"/>
                <w:sz w:val="18"/>
                <w:szCs w:val="18"/>
              </w:rPr>
              <w:t>虚拟仿真数据交换与能源控制部件</w:t>
            </w:r>
          </w:p>
        </w:tc>
        <w:tc>
          <w:tcPr>
            <w:tcW w:w="0" w:type="auto"/>
            <w:vAlign w:val="center"/>
          </w:tcPr>
          <w:p w14:paraId="45F1CC79">
            <w:pPr>
              <w:widowControl/>
              <w:spacing w:after="160" w:line="278" w:lineRule="auto"/>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1.交换机≥10口全千兆自适应网口，交换容量≥20Gbps。</w:t>
            </w:r>
            <w:r>
              <w:rPr>
                <w:rStyle w:val="9"/>
                <w:rFonts w:ascii="宋体" w:hAnsi="宋体" w:eastAsia="宋体" w:cs="宋体"/>
                <w:b w:val="0"/>
                <w:bCs w:val="0"/>
                <w:color w:val="auto"/>
                <w:sz w:val="18"/>
                <w:szCs w:val="18"/>
              </w:rPr>
              <w:br w:type="textWrapping"/>
            </w:r>
            <w:r>
              <w:rPr>
                <w:rStyle w:val="9"/>
                <w:rFonts w:ascii="宋体" w:hAnsi="宋体" w:eastAsia="宋体" w:cs="宋体"/>
                <w:b w:val="0"/>
                <w:bCs w:val="0"/>
                <w:color w:val="auto"/>
                <w:sz w:val="18"/>
                <w:szCs w:val="18"/>
              </w:rPr>
              <w:t>2.配备无线模块，支持Wi-Fi6或Wi-Fi7协议，双频运行，2.4G+5G高速传输，总速率≥4600Mbps；高发射功率，内置天线，支持PoE供电，功耗低，整机功率≤25.5W。</w:t>
            </w:r>
          </w:p>
          <w:p w14:paraId="32BB4CCF">
            <w:pPr>
              <w:widowControl/>
              <w:spacing w:after="160" w:line="278" w:lineRule="auto"/>
              <w:jc w:val="left"/>
              <w:textAlignment w:val="center"/>
              <w:rPr>
                <w:rFonts w:hint="eastAsia" w:ascii="宋体" w:hAnsi="宋体" w:eastAsia="宋体" w:cs="宋体"/>
                <w:b w:val="0"/>
                <w:bCs w:val="0"/>
                <w:color w:val="auto"/>
                <w:kern w:val="0"/>
                <w:sz w:val="18"/>
                <w:szCs w:val="18"/>
              </w:rPr>
            </w:pPr>
            <w:r>
              <w:rPr>
                <w:rStyle w:val="10"/>
                <w:rFonts w:ascii="宋体" w:hAnsi="宋体" w:eastAsia="宋体" w:cs="宋体"/>
                <w:b w:val="0"/>
                <w:bCs w:val="0"/>
                <w:color w:val="auto"/>
                <w:sz w:val="18"/>
                <w:szCs w:val="18"/>
              </w:rPr>
              <w:t>▲3</w:t>
            </w:r>
            <w:r>
              <w:rPr>
                <w:rStyle w:val="9"/>
                <w:rFonts w:ascii="宋体" w:hAnsi="宋体" w:eastAsia="宋体" w:cs="宋体"/>
                <w:b w:val="0"/>
                <w:bCs w:val="0"/>
                <w:color w:val="auto"/>
                <w:sz w:val="18"/>
                <w:szCs w:val="18"/>
              </w:rPr>
              <w:t>.采用</w:t>
            </w:r>
            <w:r>
              <w:rPr>
                <w:rFonts w:hint="eastAsia" w:ascii="宋体" w:hAnsi="宋体" w:eastAsia="宋体" w:cs="宋体"/>
                <w:b w:val="0"/>
                <w:bCs w:val="0"/>
                <w:color w:val="auto"/>
                <w:kern w:val="0"/>
                <w:sz w:val="18"/>
                <w:szCs w:val="18"/>
              </w:rPr>
              <w:t>≥</w:t>
            </w:r>
            <w:r>
              <w:rPr>
                <w:rStyle w:val="9"/>
                <w:rFonts w:ascii="宋体" w:hAnsi="宋体" w:eastAsia="宋体" w:cs="宋体"/>
                <w:b w:val="0"/>
                <w:bCs w:val="0"/>
                <w:color w:val="auto"/>
                <w:sz w:val="18"/>
                <w:szCs w:val="18"/>
              </w:rPr>
              <w:t>4×4无缝4K@60Hz高清HDMI矩阵：符合HDCP 2.2规范；支持符合HDMI 2.0规范的视频分辨率（≥4K@60Hz 4:4:4）和18Gbps视频带宽；</w:t>
            </w:r>
            <w:r>
              <w:rPr>
                <w:rFonts w:hint="eastAsia" w:ascii="宋体" w:hAnsi="宋体" w:eastAsia="宋体" w:cs="宋体"/>
                <w:b w:val="0"/>
                <w:bCs w:val="0"/>
                <w:color w:val="auto"/>
                <w:kern w:val="0"/>
                <w:sz w:val="18"/>
                <w:szCs w:val="18"/>
              </w:rPr>
              <w:t>提供相关证明材料（产品认证证书、检测报告、产品彩页、产品说明书、官网和功能截图等复印件加盖公章）其中任意一项即可。</w:t>
            </w:r>
          </w:p>
          <w:p w14:paraId="163608D4">
            <w:pPr>
              <w:widowControl/>
              <w:jc w:val="left"/>
              <w:textAlignment w:val="center"/>
              <w:rPr>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4.配套存储设备，采用优质冷轧钢材质，规格≥600mm×800mm，静电喷塑黑色外观；侧板可拆卸，配备弹力安全门锁、机柜托板、专用电源及控制柜。</w:t>
            </w:r>
          </w:p>
        </w:tc>
      </w:tr>
      <w:tr w14:paraId="375B9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617AE899">
            <w:pPr>
              <w:spacing w:line="400" w:lineRule="exact"/>
              <w:jc w:val="left"/>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5</w:t>
            </w:r>
          </w:p>
        </w:tc>
        <w:tc>
          <w:tcPr>
            <w:tcW w:w="0" w:type="auto"/>
            <w:vAlign w:val="center"/>
          </w:tcPr>
          <w:p w14:paraId="690FD7A2">
            <w:pPr>
              <w:widowControl/>
              <w:jc w:val="left"/>
              <w:textAlignment w:val="center"/>
              <w:rPr>
                <w:rFonts w:hint="eastAsia" w:ascii="宋体" w:hAnsi="宋体" w:eastAsia="宋体" w:cs="宋体"/>
                <w:b w:val="0"/>
                <w:bCs w:val="0"/>
                <w:color w:val="auto"/>
                <w:sz w:val="18"/>
                <w:szCs w:val="18"/>
              </w:rPr>
            </w:pPr>
            <w:r>
              <w:rPr>
                <w:rFonts w:hint="eastAsia" w:ascii="宋体" w:hAnsi="宋体" w:eastAsia="宋体" w:cs="宋体"/>
                <w:b w:val="0"/>
                <w:bCs w:val="0"/>
                <w:color w:val="auto"/>
                <w:kern w:val="0"/>
                <w:sz w:val="18"/>
                <w:szCs w:val="18"/>
              </w:rPr>
              <w:t>联合国磋商虚拟仿真实验</w:t>
            </w:r>
          </w:p>
        </w:tc>
        <w:tc>
          <w:tcPr>
            <w:tcW w:w="0" w:type="auto"/>
            <w:vAlign w:val="center"/>
          </w:tcPr>
          <w:p w14:paraId="3F5F8508">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1.课堂设计</w:t>
            </w:r>
          </w:p>
          <w:p w14:paraId="221C3E20">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1.1．根据虚拟仿真课程基本信息与资料，结合教师授课流程、课堂内容及日常教学，规划课堂整体结构与模块；</w:t>
            </w:r>
          </w:p>
          <w:p w14:paraId="274D2F5B">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1.2.配合教师协同打磨，确保课堂流程顺畅、内容衔接完整，形成专属授课模式；</w:t>
            </w:r>
          </w:p>
          <w:p w14:paraId="29AAD44C">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2.界面设计</w:t>
            </w:r>
          </w:p>
          <w:p w14:paraId="4563B5D4">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2.1．依据课堂内容需求，设计整体风格，搭配和谐且突出信息的色彩方案，直观呈现虚拟仿真课程视觉效果；</w:t>
            </w:r>
          </w:p>
          <w:p w14:paraId="5F40A661">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2.2.规划各环节区域内容，按重要性与关联性划分信息层次，引导用户视线，增强视觉感染力的，加速信息传递效能；</w:t>
            </w:r>
          </w:p>
          <w:p w14:paraId="621942DD">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2.3.根据设计需求选择合适的图片素材，包括摄影图片、矢量图形等。对提供的素材进行处理，通过重新绘制、调色匹配课堂的风格；</w:t>
            </w:r>
          </w:p>
          <w:p w14:paraId="6F395B60">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2.4.需对icon、小插画等视觉精致化设计，排版、字体、大小，等规范统一化，提高文本的可读性；</w:t>
            </w:r>
          </w:p>
          <w:p w14:paraId="1019FBA4">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3.裸眼3D场景</w:t>
            </w:r>
          </w:p>
          <w:p w14:paraId="6029F7F2">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3.1．定制不少于2个裸眼3D教学场景，例：联合国大会厅、磋商休息室、新闻发布厅等核心场景，营造真实外交语境；</w:t>
            </w:r>
          </w:p>
          <w:p w14:paraId="4FB7530E">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3.2.支持动态视觉效果、动画及音效，模拟真实教学或实践环境，融合真实场景，打造沉浸式学习体验，增强教学内容呈现质量；</w:t>
            </w:r>
          </w:p>
          <w:p w14:paraId="541660A4">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4.AI数字人</w:t>
            </w:r>
          </w:p>
          <w:p w14:paraId="1FC9C30B">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4.1.根据虚拟仿真课程需要定制不少于1个数字人角色形象；</w:t>
            </w:r>
          </w:p>
          <w:p w14:paraId="2B08539D">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4.2.自定义角色背景（如模拟外交官、主席团等核心角色等），角色知识范围严格匹配所定义的角色背景，掌握对应角色背景下的相关知识；</w:t>
            </w:r>
          </w:p>
          <w:p w14:paraId="3763771E">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4.3.需支持依托虚拟仿真课程知识库配合教师完成虚拟仿真课程内容讲解、知识点解读、场景引导、肢体动作演示等教学任务，支持语音交互，适配不同学科教学场景需求；</w:t>
            </w:r>
          </w:p>
          <w:p w14:paraId="250BD720">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5.虚拟仿真课程知识库</w:t>
            </w:r>
          </w:p>
          <w:p w14:paraId="5BB87FAA">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5.1.需支持基于AI向量数据库构建功能，根据虚拟仿真课程资料，创建一个虚拟仿真课程专属知识库。该数据库通过将虚拟仿真课程内容转化为高维向量，实现精准的信息检索。无论是学生还是老师，只需输入相关问题，AI即可快速匹配虚拟仿真课程内容并给出准确答案。此外，向量数据库还支需持其他AI功能，如AI出题、AI答疑、学习情况分析等，使得教学更为高效和智能化；</w:t>
            </w:r>
          </w:p>
          <w:p w14:paraId="3FE0C059">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5.2.需支持基于AI分类模型构建功能通过智能分类模型，将学生的问题根据内容进行分类，以便于后续的AI统计分析。确保教师能够迅速掌握学生的主要困惑领域，并进行针对性的教学调整。同时，分类后的数据也为进一步的个性化教学提供了坚实的基础，使得教学过程更加高效、精准；</w:t>
            </w:r>
          </w:p>
          <w:p w14:paraId="5B0DCA47">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6.AI教学助手形象</w:t>
            </w:r>
          </w:p>
          <w:p w14:paraId="6B096876">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6.1.需支持定制化AI教学助手形象，支持风格、身形、色调多维自定义设定，依托多元形态与动态特效适配课堂界面；</w:t>
            </w:r>
          </w:p>
          <w:p w14:paraId="0AEE21E1">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6.2.需支持讲解、指引、应答等交互姿态，贴合教学授课场景。丰富形象样式满足不同学段、学科教学调性，强化课堂视觉氛围感，有效拉近师生交互距离，全面提升课堂观感与沉浸式学；</w:t>
            </w:r>
          </w:p>
          <w:p w14:paraId="371B5BB0">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7.AI语音交互智能体</w:t>
            </w:r>
          </w:p>
          <w:p w14:paraId="5516B8FE">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7.1.支持语音采集输入，采用先进的语音识别技术将语音转换为文本，同时该功能还提供了基于深度学习技术的拟人化语音生成功能，可以输出多国流畅语音，为课堂中的高质量AI对话提供有力支持；</w:t>
            </w:r>
          </w:p>
          <w:p w14:paraId="0DB6903B">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7.2.该功能可以应用到教学的各类即时问答、语音提问、发言点评、话术纠错第二部分场景中，提高课堂互动效率和学习体验；</w:t>
            </w:r>
          </w:p>
          <w:p w14:paraId="11A1A14E">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●7.3.支持通过智能讲台麦克风/手持麦克风自动采集语音，与课程中AI数字人、AI教学助教实时语音互动，支持中、英多语种的识别，智能讲台实时记录对话；</w:t>
            </w:r>
          </w:p>
          <w:p w14:paraId="7B674B07">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7.4.支持通过智能讲台麦克风/手持麦克风自动采集语音，通过中、英多语种语音指令唤醒课程中AI数字人、AI教学助教，实现语音互动、知识点讲解、问题追问等，并可以通过语音指令结束对话，不影响教学流程。</w:t>
            </w:r>
          </w:p>
          <w:p w14:paraId="40E533F5">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8.AI答疑、讲解智能体</w:t>
            </w:r>
          </w:p>
          <w:p w14:paraId="34588896">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8.1.支持依托虚拟仿真课程知识库，采用先进的RAG技术构建智能答疑系统，形成高效精准的AI辅助教学工具；</w:t>
            </w:r>
          </w:p>
          <w:p w14:paraId="503F0F7B">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8.2.支持小程序端接入，可实现小程序课堂提问、随堂问答等落地应用，应答内容严格限定在虚拟仿真课程知识库内；</w:t>
            </w:r>
          </w:p>
          <w:p w14:paraId="1D145A65">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8.3.支持可实时解读虚拟仿真课程理论知识点、梳理原理逻辑等，便于提高学生学习效率和教学质量；</w:t>
            </w:r>
          </w:p>
          <w:p w14:paraId="1B53C5F9">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9.AI出题、批改智能体</w:t>
            </w:r>
          </w:p>
          <w:p w14:paraId="51AB0FBA">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9.1.支持依托多模态识别、自然语言处理技术，对课堂考核进行智能、高效、精准的自动化批改；</w:t>
            </w:r>
          </w:p>
          <w:p w14:paraId="43AA6248">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9.2.支持客观题即时判分，同时可自动标注错误点、推送解析、关联相应知识点，生成针对性解析与学情反馈，既大幅降低教师课中批改工作量，也能让学习者快速知晓问题、精准查漏补缺，实现教与学的双向提效；</w:t>
            </w:r>
          </w:p>
          <w:p w14:paraId="4CAA9D3D">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9.3.支持通过智能讲台，基于课程AI出题智能体，实现智能化、个性化的试题生成全流程管控：可灵活选择题、填空题标准化题型，自定义试题的数量（3/5道试题），精准匹配基础巩固、中档提升、拔高拓展分层的难度梯度，并能清晰锚定对应知识点，大屏展示生成题目，学生基于扫码二维码完成试题；</w:t>
            </w:r>
          </w:p>
          <w:p w14:paraId="1D3F804D">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9.4.支持课堂练习、学情诊断等多元教学场景提供标准化试题资源，助力高效教学与精准学情分析；</w:t>
            </w:r>
          </w:p>
          <w:p w14:paraId="04D6B1DC">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9.5.支持自动生成实时课堂考核报告，自动统计课堂互动参与数据，支撑平时成绩评定；</w:t>
            </w:r>
          </w:p>
          <w:p w14:paraId="03CC7953">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10.桌面投屏：支持教师PPT课件实时投射至大屏，投射分辨率与课件保持一致，画面无卡顿、无失真；支持翻页笔、鼠标双重控制，可实现课件翻页、批注等操作，适配主流PPT版本，不影响实训教学节奏；</w:t>
            </w:r>
          </w:p>
          <w:p w14:paraId="590CF5FC">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11.互动问答：支持依托微信小程序，无需下载额外应用，扫码即可进入问答界面；支持文字发送，字符限制≤10字，自动屏蔽违规文字；</w:t>
            </w:r>
          </w:p>
          <w:p w14:paraId="549D9F9F">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12.作品展示：支持微信小程序上传的立场文件、发言提纲、决议草案等照片或图片，可由教师筛选后公开展示；</w:t>
            </w:r>
          </w:p>
          <w:p w14:paraId="593BF20E">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13.AI多模态动作分析</w:t>
            </w:r>
          </w:p>
          <w:p w14:paraId="4312477E">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13.1.支持通过多特征点人脸比对技术实现实训生身份精准识别；</w:t>
            </w:r>
          </w:p>
          <w:p w14:paraId="7FA52945">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13.2.支持通过视觉动作捕捉技术实时采集用户姿态，分析姿态规范性，实时反馈纠正建议；提供相关证明材料（产品认证证书、检测报告、产品彩页、产品说明书、官网和功能截图等复印件加盖公章）其中任意一项即可。</w:t>
            </w:r>
          </w:p>
          <w:p w14:paraId="7F07A15E">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13.3.支持实时采集语音并转文本进行分析，通过AI智能根据标准，评估语言准确性，并将分析结果自动统计到报告中，以可视化呈现；提供相关证明材料（产品认证证书、检测报告、产品彩页、产品说明书、官网和功能截图等复印件加盖公章）其中任意一项即可。</w:t>
            </w:r>
          </w:p>
          <w:p w14:paraId="7A1599E8">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14.三维模型</w:t>
            </w:r>
          </w:p>
          <w:p w14:paraId="44B70449">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14.1.支持基于虚拟仿真课程所涉及的核心设备、典型建筑、关键生物等实体对象，深度还原其结构特征、形态细节与功能属性，精准构建高保真三维模型。核心用于虚拟仿真课程知识点的可视化展示，依托虚拟仿真课程内容，精准匹配虚拟仿真课程各类知识点（如仪器设备、生物体结构、工程构件、建筑模型、微观粒子等）；</w:t>
            </w:r>
          </w:p>
          <w:p w14:paraId="501CD347">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14.2.支持模型360°旋转、放大缩小、拆分/组合展示，可标注模型关键部位及对应知识点；适配虚拟场景嵌入；</w:t>
            </w:r>
          </w:p>
          <w:p w14:paraId="32F8D99F">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14.3.支持通用格式（FBX、OBJ、GLTF）优先，支持跨平台引擎（Unity、Unreal）；</w:t>
            </w:r>
          </w:p>
          <w:p w14:paraId="02467BA3">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14.4.支持层级结构清晰（如“设备_部件_编号”），材质球与贴图命名一致。uv避免拉伸，贴图利用率需达80%以上，支持2K/4K贴图分辨率；</w:t>
            </w:r>
          </w:p>
          <w:p w14:paraId="133AE932">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14.5.支持PBR材质：金属度（Metallic）、粗糙度（Roughness）等参数需符合物理规律，支持HDR环光反射；</w:t>
            </w:r>
          </w:p>
          <w:p w14:paraId="3DD34E81">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14.6.支持屏幕空间反射（SSR）、视差贴图（Parallax Mapping）增强真实感。Alpha通道处理需兼容不同渲染管线（如 Forward/Deferred Rendering）；</w:t>
            </w:r>
          </w:p>
          <w:p w14:paraId="534C82B7">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15.三维动画</w:t>
            </w:r>
          </w:p>
          <w:p w14:paraId="7709884E">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15.1.支持基于教学内容并结合三维场景、角色模型进行动画制作，比如模拟真实的联合国外交演讲等用于虚拟仿真课程内容教学；</w:t>
            </w:r>
          </w:p>
          <w:p w14:paraId="16C5D71F">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15.2.支持核心用于虚拟仿真课程知识点的动态教学，依托虚拟仿真课程知识库及三维模型，围绕知识点讲解需求制作配套动画，无卡顿、无拖影；</w:t>
            </w:r>
          </w:p>
          <w:p w14:paraId="7E0B168E">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15.3.支持动画与虚拟仿真课程知识点关联，内容严格贴合虚拟仿真课程知识点，可精准演示原理过程、操作流程、结构变化等（如设备运行原理、生物生长过程等），可嵌入虚拟场景；</w:t>
            </w:r>
          </w:p>
          <w:p w14:paraId="475F918E">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16.实训教学</w:t>
            </w:r>
          </w:p>
          <w:p w14:paraId="6E09444A">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16.1.支持基于虚拟仿真课程实训核心需求，精准复刻不少于一个实训流程，模拟联合国大会中正式会议、程序训练、发言与表决等真实情境；</w:t>
            </w:r>
          </w:p>
          <w:p w14:paraId="61A29767">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16.2.支持漫游、360°视角切换、任务点触发、信息提示、状态实时反馈、语音交互等交互能力</w:t>
            </w:r>
          </w:p>
          <w:p w14:paraId="3D8802D0">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16.3.支持预置外交官、主席团核心角色，不同角色匹配差异化任务流程、操作权限与实训内容；</w:t>
            </w:r>
          </w:p>
          <w:p w14:paraId="09F93122">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16.4.支持发言申请、动议提出、议题推进、立场宣讲、投票表决、阶段任务执行等全流程实训；</w:t>
            </w:r>
          </w:p>
          <w:p w14:paraId="5E419170">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16.5.支持实训中计时与礼仪行为识别：监测发言时长、礼仪行为等，形成实训数据；</w:t>
            </w:r>
          </w:p>
          <w:p w14:paraId="665F2C34">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16.6.支持数字人与AI语音交互智能体赋能实训教学中人机交互、发言、表决、宣讲等环节中，并记录对话数据；</w:t>
            </w:r>
          </w:p>
          <w:p w14:paraId="022D6962">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17.实训报告</w:t>
            </w:r>
          </w:p>
          <w:p w14:paraId="2EB55DD3">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17.1.支持智能化报告生成，基于系统自动记录的实训数据，自动填充报告核心内容（操作详情、实训流程、对话数据、行为数据、完成情况）；</w:t>
            </w:r>
          </w:p>
          <w:p w14:paraId="07475A0F">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17.2.支持教师可通过系统查阅报告，针对问题开展集中讲解、指导，进一步强化实训实践教学成效，助力学生实现理论知识向实操能力的高效转化；</w:t>
            </w:r>
          </w:p>
          <w:p w14:paraId="25410068">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18.系统开发</w:t>
            </w:r>
          </w:p>
          <w:p w14:paraId="1C3149DA">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18.1.支持在教学空间所具备的基础能力之上（硬件、软件、云服务等），构建满足本堂课所需的交互式教学场景软件框架；</w:t>
            </w:r>
          </w:p>
          <w:p w14:paraId="693E4949">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18.2.支持构建pc端和小程序端的交互式界面，提供顺畅的教学互动能力；</w:t>
            </w:r>
          </w:p>
          <w:p w14:paraId="738E195E">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18.3.支持构建并串联起本堂课的各个教学内容环节（包括具体场景、视频、图片、音频、3D动画、文本等各类富媒体资源，还包括交互式AI等能力的植入，以及以上各类能力的数据链管理和业务调度，保证整个课堂资源的可用）；</w:t>
            </w:r>
          </w:p>
          <w:p w14:paraId="7FC5A343">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18.4.支持交互准确性与稳定性，可通过触控或鼠标操作对3D模型进行自由旋转、缩放、平移等操作，交互响应流畅无卡顿；</w:t>
            </w:r>
          </w:p>
          <w:p w14:paraId="253CA53D">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18.5.支持界面动画与交互反馈，操作过程需提供适当的视觉反馈，如按钮点击动效、加载进度条、选中高亮等，提升用户操作感知；</w:t>
            </w:r>
          </w:p>
          <w:p w14:paraId="14D6D412">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18.6.支持过渡动画、模型高亮提示、场景引导等交互演示功能；</w:t>
            </w:r>
          </w:p>
          <w:p w14:paraId="23CBF85C">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19.网页端适配</w:t>
            </w:r>
          </w:p>
          <w:p w14:paraId="6D17D446">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19.1.支持适配网页端在线运行模式，兼容主流浏览器环境；</w:t>
            </w:r>
          </w:p>
          <w:p w14:paraId="39569036">
            <w:pPr>
              <w:widowControl/>
              <w:jc w:val="left"/>
              <w:textAlignment w:val="center"/>
              <w:rPr>
                <w:rStyle w:val="9"/>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19.2.支持程序运行逻辑互通，数据同步稳定顺畅，满足网页端在线使用需求；</w:t>
            </w:r>
          </w:p>
          <w:p w14:paraId="000045CD">
            <w:pPr>
              <w:widowControl/>
              <w:jc w:val="left"/>
              <w:textAlignment w:val="center"/>
              <w:rPr>
                <w:rFonts w:hint="eastAsia" w:ascii="宋体" w:hAnsi="宋体" w:eastAsia="宋体" w:cs="宋体"/>
                <w:b w:val="0"/>
                <w:bCs w:val="0"/>
                <w:color w:val="auto"/>
                <w:sz w:val="18"/>
                <w:szCs w:val="18"/>
              </w:rPr>
            </w:pPr>
            <w:r>
              <w:rPr>
                <w:rStyle w:val="9"/>
                <w:rFonts w:ascii="宋体" w:hAnsi="宋体" w:eastAsia="宋体" w:cs="宋体"/>
                <w:b w:val="0"/>
                <w:bCs w:val="0"/>
                <w:color w:val="auto"/>
                <w:sz w:val="18"/>
                <w:szCs w:val="18"/>
              </w:rPr>
              <w:t>20.运维和服务：教学平台、教学小程序的维护及运营；各类AI智能体的运营服务。支持2年运维和服务，2年后重新购买。</w:t>
            </w:r>
          </w:p>
        </w:tc>
      </w:tr>
    </w:tbl>
    <w:p w14:paraId="460BEE92">
      <w:pPr>
        <w:pStyle w:val="8"/>
        <w:numPr>
          <w:ilvl w:val="-1"/>
          <w:numId w:val="0"/>
        </w:numPr>
        <w:jc w:val="left"/>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三、服务要求</w:t>
      </w:r>
    </w:p>
    <w:p w14:paraId="63D3851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（一）包装和运输要求</w:t>
      </w:r>
    </w:p>
    <w:p w14:paraId="4B9B9BB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1.运输由中标人负责，运杂费已包含在合同总价内。</w:t>
      </w:r>
    </w:p>
    <w:p w14:paraId="112553B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运输方式由中标人自行选择，包装必须符合国家标准行业标准，满足航空、铁路或公路运输以及货物装卸要求，保证采购人收到的是无任何损伤的货物，否则，因此造成的损失由中标人自行承担。同时，中标人必须保证如期交付，不得断货，否则，因断货造成的损失由中标人负责赔偿。</w:t>
      </w:r>
    </w:p>
    <w:p w14:paraId="3A3B49E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3.除合同另有规定外，中标人提供的全部货物，均应按标准保护措施进行包装。包装应适应于远距离运输、防潮、防震、防锈和防野蛮装卸，以确保货物安全无损运抵项目现场。</w:t>
      </w:r>
    </w:p>
    <w:p w14:paraId="5EB707F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4.中标人提供的产品及相关快递服务的包装要求，按照《商品包装政府采购需求标准（试行）》《快递包装政府采购需求标准（试行）》执行。</w:t>
      </w:r>
    </w:p>
    <w:p w14:paraId="6099D15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（二）保险要求</w:t>
      </w:r>
    </w:p>
    <w:p w14:paraId="0893F99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1.风险承担</w:t>
      </w:r>
    </w:p>
    <w:p w14:paraId="71EFA54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在货物运抵采购人指定地点并经开箱验收合格前，货物毁损、灭失的风险由中标人承担。中标人应采取必要的防护措施，确保货物在运输、装卸及仓储过程中的安全。</w:t>
      </w:r>
    </w:p>
    <w:p w14:paraId="6BEDC5F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2.保险责任</w:t>
      </w:r>
    </w:p>
    <w:p w14:paraId="507C8AF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（1）中标人负责办理货物从发货地至采购人指定交货地点的全程运输保险。</w:t>
      </w:r>
    </w:p>
    <w:p w14:paraId="0BFC510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（2）投保险种应至少包含货物运输一切险（或同等效力的险种），并根据货物特性附加必要的特殊险（如易碎品破碎险、防锈险等）。</w:t>
      </w:r>
    </w:p>
    <w:p w14:paraId="232AC15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（3）保险金额应不低于合同总价款的100%，并以采购人为被保险人或共同受益人。</w:t>
      </w:r>
    </w:p>
    <w:p w14:paraId="45CA15C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（4）保险期间自货物离开中标人仓库或工厂起，至货物运抵采购人指定交货地点并由双方完成开箱外观检验止。</w:t>
      </w:r>
    </w:p>
    <w:p w14:paraId="6E5FDC2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3.索赔与理赔</w:t>
      </w:r>
    </w:p>
    <w:p w14:paraId="2DB76FE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若在运输或保管过程中发生保险范围内的损失，中标人应负责立即向保险公司索赔。若因中标人未及时投保、投保金额不足或未正确填写被保险人，导致采购人无法获得足额赔偿的，由中标人承担全部赔偿责任。</w:t>
      </w:r>
    </w:p>
    <w:p w14:paraId="00490BD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（三）供货安装要求</w:t>
      </w:r>
    </w:p>
    <w:p w14:paraId="6F5C90B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中标人应按照合同约定、采购文件及投标（响应）文件的承诺，向采购人提供完整的货物、技术资料（包括但不限于产品说明书、合格证、保修卡、安装图纸、操作手册等）、专用工具及备品备件。</w:t>
      </w:r>
    </w:p>
    <w:p w14:paraId="2A78FEB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（四）调试与试运行</w:t>
      </w:r>
    </w:p>
    <w:p w14:paraId="6C13691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安装完成后，中标人应进行系统调试，确保各项功能、性能指标符合合同约定及投标承诺。试运行期15日。试运行期间，中标人应派技术人员现场跟班保障，及时处理运行中出现的问题。试运行正常后，方可进入正式验收程序。</w:t>
      </w:r>
    </w:p>
    <w:p w14:paraId="096B152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（五）质保及售后要求</w:t>
      </w:r>
    </w:p>
    <w:p w14:paraId="0DF31C1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质保期为产品最终验收合格之日起硬件质保3年，软件免费升级5年。质保期内，任何由制造商选材和制造不当引起的质量问题，中标人负责维修或更换原厂配件，采购人不负担任何维修费用（含人工费）。质保期内，项目责任工程师每年免费提供不小于2次上门保养服务，免费提供保养用的全部零部件（原厂）。质保期满前1个月，中标人免费提供一次全面的检查、维护，并出具正式检查报告，如发现潜在问题，应负责完全排除。</w:t>
      </w:r>
    </w:p>
    <w:p w14:paraId="4D28D42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售后服务响应时间（质保期内）：7*24即时响应（包括电话响应）；电话响应无法解决时，24小时内到达现场。采购人反映的问题应在48小时内解决，如在48小时内无法解决或修复，则由中标人提供部件冗余服务或采取应急措施，提供相同产品或不低于故障产品规格档次的备用产品供采购人使用，以确保货物的正常使用。48小时后，未解决之问题每超过24小时，中标人应按合同价的千分之一支付违约金。</w:t>
      </w:r>
    </w:p>
    <w:p w14:paraId="145D488A">
      <w:pPr>
        <w:keepNext w:val="0"/>
        <w:keepLines w:val="0"/>
        <w:pageBreakBefore w:val="0"/>
        <w:widowControl w:val="0"/>
        <w:kinsoku/>
        <w:wordWrap/>
        <w:overflowPunct/>
        <w:topLinePunct w:val="0"/>
        <w:autoSpaceDE/>
        <w:autoSpaceDN/>
        <w:bidi w:val="0"/>
        <w:spacing w:line="360" w:lineRule="auto"/>
        <w:jc w:val="both"/>
        <w:textAlignment w:val="auto"/>
        <w:rPr>
          <w:rFonts w:hint="default"/>
          <w:b w:val="0"/>
          <w:bCs w:val="0"/>
          <w:color w:val="auto"/>
          <w:sz w:val="24"/>
          <w:szCs w:val="24"/>
          <w:lang w:val="en-US" w:eastAsia="zh-CN"/>
        </w:rPr>
      </w:pPr>
      <w:r>
        <w:rPr>
          <w:rFonts w:hint="eastAsia" w:ascii="宋体" w:hAnsi="宋体" w:eastAsia="宋体" w:cs="宋体"/>
          <w:b w:val="0"/>
          <w:bCs w:val="0"/>
          <w:color w:val="auto"/>
          <w:sz w:val="24"/>
          <w:szCs w:val="24"/>
        </w:rPr>
        <w:t>3.中标人应在合同生效后的1个月内向采购人提供详细的软硬件使用说明并提供免费技术咨询。设备、系统安装调试完成后，中标人应按照采购人指定时间、指定地点、指定频次开展培训。培训内容包括设备的技术原理、操作方法、数据处理、基本维护等。</w:t>
      </w:r>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EC2207B"/>
    <w:rsid w:val="185B7540"/>
    <w:rsid w:val="213E2F0F"/>
    <w:rsid w:val="26841133"/>
    <w:rsid w:val="308E1933"/>
    <w:rsid w:val="33BC7D4B"/>
    <w:rsid w:val="3E754C90"/>
    <w:rsid w:val="3F8134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left"/>
    </w:pPr>
    <w:rPr>
      <w:rFonts w:ascii="宋体" w:hAnsi="宋体" w:eastAsia="宋体" w:cs="宋体"/>
      <w:b/>
      <w:kern w:val="2"/>
      <w:sz w:val="28"/>
      <w:szCs w:val="28"/>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1"/>
    <w:basedOn w:val="1"/>
    <w:next w:val="1"/>
    <w:qFormat/>
    <w:uiPriority w:val="0"/>
    <w:pPr>
      <w:wordWrap w:val="0"/>
      <w:adjustRightInd w:val="0"/>
      <w:snapToGrid w:val="0"/>
      <w:spacing w:line="480" w:lineRule="auto"/>
    </w:pPr>
    <w:rPr>
      <w:rFonts w:ascii="宋体" w:hAnsi="宋体" w:eastAsia="宋体" w:cs="宋体"/>
      <w:sz w:val="28"/>
      <w:szCs w:val="28"/>
    </w:rPr>
  </w:style>
  <w:style w:type="table" w:styleId="4">
    <w:name w:val="Table Grid"/>
    <w:basedOn w:val="3"/>
    <w:qFormat/>
    <w:uiPriority w:val="5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6">
    <w:name w:val="表格-左对齐"/>
    <w:basedOn w:val="1"/>
    <w:qFormat/>
    <w:uiPriority w:val="0"/>
    <w:pPr>
      <w:wordWrap w:val="0"/>
      <w:adjustRightInd w:val="0"/>
      <w:snapToGrid w:val="0"/>
      <w:spacing w:line="360" w:lineRule="auto"/>
      <w:jc w:val="center"/>
    </w:pPr>
    <w:rPr>
      <w:rFonts w:hint="eastAsia" w:ascii="宋体" w:hAnsi="宋体" w:eastAsia="宋体" w:cs="宋体"/>
      <w:sz w:val="24"/>
      <w:szCs w:val="24"/>
    </w:rPr>
  </w:style>
  <w:style w:type="paragraph" w:customStyle="1" w:styleId="7">
    <w:name w:val="表格"/>
    <w:basedOn w:val="1"/>
    <w:autoRedefine/>
    <w:qFormat/>
    <w:uiPriority w:val="0"/>
    <w:pPr>
      <w:adjustRightInd w:val="0"/>
      <w:snapToGrid w:val="0"/>
      <w:spacing w:line="240" w:lineRule="auto"/>
      <w:jc w:val="center"/>
    </w:pPr>
    <w:rPr>
      <w:rFonts w:ascii="宋体" w:hAnsi="宋体" w:eastAsia="宋体" w:cs="宋体"/>
      <w:sz w:val="24"/>
      <w:szCs w:val="24"/>
      <w:u w:val="none"/>
    </w:rPr>
  </w:style>
  <w:style w:type="paragraph" w:customStyle="1" w:styleId="8">
    <w:name w:val="null3"/>
    <w:hidden/>
    <w:qFormat/>
    <w:uiPriority w:val="0"/>
    <w:rPr>
      <w:rFonts w:hint="eastAsia" w:asciiTheme="minorHAnsi" w:hAnsiTheme="minorHAnsi" w:eastAsiaTheme="minorEastAsia" w:cstheme="minorBidi"/>
      <w:lang w:val="en-US" w:eastAsia="zh-Hans" w:bidi="ar-SA"/>
    </w:rPr>
  </w:style>
  <w:style w:type="character" w:customStyle="1" w:styleId="9">
    <w:name w:val="font11"/>
    <w:basedOn w:val="5"/>
    <w:qFormat/>
    <w:uiPriority w:val="0"/>
    <w:rPr>
      <w:rFonts w:hint="eastAsia" w:ascii="宋体" w:hAnsi="宋体" w:eastAsia="宋体" w:cs="宋体"/>
      <w:color w:val="000000"/>
      <w:sz w:val="18"/>
      <w:szCs w:val="18"/>
      <w:u w:val="none"/>
    </w:rPr>
  </w:style>
  <w:style w:type="character" w:customStyle="1" w:styleId="10">
    <w:name w:val="font21"/>
    <w:basedOn w:val="5"/>
    <w:qFormat/>
    <w:uiPriority w:val="0"/>
    <w:rPr>
      <w:rFonts w:hint="eastAsia" w:ascii="宋体" w:hAnsi="宋体" w:eastAsia="宋体" w:cs="宋体"/>
      <w:b/>
      <w:bCs/>
      <w:color w:val="000000"/>
      <w:sz w:val="18"/>
      <w:szCs w:val="18"/>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2</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2025-02-24T07:26:00Z</dcterms:created>
  <dc:creator>admin</dc:creator>
  <cp:lastModifiedBy>w..</cp:lastModifiedBy>
  <dcterms:modified xsi:type="dcterms:W3CDTF">2026-07-13T07:01:56Z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50DBD70EEBF74746A7EEF8B5DC19B0B3_12</vt:lpwstr>
  </property>
  <property fmtid="{D5CDD505-2E9C-101B-9397-08002B2CF9AE}" pid="4" name="KSOTemplateDocerSaveRecord">
    <vt:lpwstr>eyJoZGlkIjoiMzM4ODMwNjNiZWE4OGJkYzJkNWI1MjZhMjg0MGY0NWEiLCJ1c2VySWQiOiIyOTcwOTk0MDcifQ==</vt:lpwstr>
  </property>
</Properties>
</file>