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1622E1">
      <w:pPr>
        <w:pStyle w:val="9"/>
        <w:jc w:val="center"/>
        <w:outlineLvl w:val="1"/>
      </w:pPr>
      <w:r>
        <w:rPr>
          <w:rFonts w:ascii="仿宋_GB2312" w:hAnsi="仿宋_GB2312" w:eastAsia="仿宋_GB2312" w:cs="仿宋_GB2312"/>
          <w:b/>
          <w:sz w:val="36"/>
        </w:rPr>
        <w:t>第三章 谈判项目技术、服务、商务及其他要求</w:t>
      </w:r>
    </w:p>
    <w:p w14:paraId="5AB0B018">
      <w:pPr>
        <w:pStyle w:val="9"/>
        <w:outlineLvl w:val="2"/>
      </w:pPr>
      <w:r>
        <w:rPr>
          <w:rFonts w:ascii="仿宋_GB2312" w:hAnsi="仿宋_GB2312" w:eastAsia="仿宋_GB2312" w:cs="仿宋_GB2312"/>
        </w:rPr>
        <w:t xml:space="preserve"> </w:t>
      </w: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 w14:paraId="7AC9ADB7">
      <w:pPr>
        <w:pStyle w:val="9"/>
        <w:ind w:firstLine="660" w:firstLineChars="300"/>
        <w:outlineLvl w:val="2"/>
        <w:rPr>
          <w:rFonts w:hint="eastAsia" w:ascii="仿宋" w:hAnsi="仿宋" w:eastAsia="仿宋" w:cs="宋体"/>
          <w:snapToGrid w:val="0"/>
          <w:color w:val="000000"/>
          <w:kern w:val="0"/>
          <w:sz w:val="22"/>
          <w:szCs w:val="21"/>
          <w:lang w:val="en-US" w:eastAsia="en-US" w:bidi="ar-SA"/>
        </w:rPr>
      </w:pPr>
      <w:r>
        <w:rPr>
          <w:rFonts w:hint="eastAsia" w:ascii="仿宋" w:hAnsi="仿宋" w:eastAsia="仿宋" w:cs="宋体"/>
          <w:snapToGrid w:val="0"/>
          <w:color w:val="000000"/>
          <w:kern w:val="0"/>
          <w:sz w:val="22"/>
          <w:szCs w:val="21"/>
          <w:lang w:val="en-US" w:eastAsia="en-US" w:bidi="ar-SA"/>
        </w:rPr>
        <w:t>2026</w:t>
      </w:r>
      <w:r>
        <w:rPr>
          <w:rFonts w:hint="eastAsia" w:ascii="仿宋" w:hAnsi="仿宋" w:eastAsia="仿宋" w:cs="宋体"/>
          <w:snapToGrid w:val="0"/>
          <w:color w:val="000000"/>
          <w:kern w:val="0"/>
          <w:sz w:val="22"/>
          <w:szCs w:val="21"/>
          <w:lang w:val="en-US" w:eastAsia="zh-CN" w:bidi="ar-SA"/>
        </w:rPr>
        <w:t>西安市动物疫病预防控制中心狂犬病疫苗采购项目</w:t>
      </w:r>
    </w:p>
    <w:p w14:paraId="1196E7E5">
      <w:pPr>
        <w:pStyle w:val="9"/>
        <w:outlineLvl w:val="2"/>
        <w:rPr>
          <w:rFonts w:hint="eastAsia" w:ascii="仿宋" w:hAnsi="仿宋" w:eastAsia="仿宋" w:cs="宋体"/>
          <w:snapToGrid w:val="0"/>
          <w:color w:val="000000"/>
          <w:kern w:val="0"/>
          <w:sz w:val="22"/>
          <w:szCs w:val="21"/>
          <w:lang w:val="en-US" w:eastAsia="en-US" w:bidi="ar-SA"/>
        </w:rPr>
      </w:pPr>
      <w:r>
        <w:rPr>
          <w:rFonts w:ascii="仿宋_GB2312" w:hAnsi="仿宋_GB2312" w:eastAsia="仿宋_GB2312" w:cs="仿宋_GB2312"/>
          <w:b/>
          <w:sz w:val="28"/>
        </w:rPr>
        <w:t>3.2采购内容</w:t>
      </w:r>
    </w:p>
    <w:p w14:paraId="5B94A545">
      <w:pPr>
        <w:pStyle w:val="9"/>
        <w:rPr>
          <w:rFonts w:hint="eastAsia" w:eastAsia="仿宋_GB2312"/>
          <w:lang w:eastAsia="zh-CN"/>
        </w:rPr>
      </w:pPr>
      <w:r>
        <w:rPr>
          <w:rFonts w:ascii="仿宋_GB2312" w:hAnsi="仿宋_GB2312" w:eastAsia="仿宋_GB2312" w:cs="仿宋_GB2312"/>
        </w:rPr>
        <w:t>采购包1：</w:t>
      </w:r>
      <w:r>
        <w:rPr>
          <w:rFonts w:hint="eastAsia" w:ascii="仿宋_GB2312" w:hAnsi="仿宋_GB2312" w:eastAsia="仿宋_GB2312" w:cs="仿宋_GB2312"/>
          <w:lang w:val="en-US" w:eastAsia="zh-CN"/>
        </w:rPr>
        <w:t>1300000.00</w:t>
      </w:r>
      <w:r>
        <w:rPr>
          <w:rFonts w:ascii="仿宋_GB2312" w:hAnsi="仿宋_GB2312" w:eastAsia="仿宋_GB2312" w:cs="仿宋_GB2312"/>
        </w:rPr>
        <w:t>元</w:t>
      </w:r>
      <w:r>
        <w:rPr>
          <w:rFonts w:hint="eastAsia" w:ascii="仿宋_GB2312" w:hAnsi="仿宋_GB2312" w:eastAsia="仿宋_GB2312" w:cs="仿宋_GB2312"/>
          <w:lang w:eastAsia="zh-CN"/>
        </w:rPr>
        <w:t>，</w:t>
      </w:r>
      <w:r>
        <w:rPr>
          <w:rFonts w:hint="eastAsia" w:ascii="仿宋_GB2312" w:hAnsi="仿宋_GB2312" w:eastAsia="仿宋_GB2312" w:cs="仿宋_GB2312"/>
          <w:lang w:val="en-US" w:eastAsia="zh-CN"/>
        </w:rPr>
        <w:t>其中进口狂犬病疫苗（已论证）831000.00元，国产狂犬病疫苗469000.00元。</w:t>
      </w:r>
      <w:r>
        <w:rPr>
          <w:rFonts w:ascii="仿宋_GB2312" w:hAnsi="仿宋_GB2312" w:eastAsia="仿宋_GB2312" w:cs="仿宋_GB2312"/>
        </w:rPr>
        <w:t>供应商报价不允许超过标的金额</w:t>
      </w:r>
      <w:r>
        <w:rPr>
          <w:rFonts w:hint="eastAsia" w:ascii="仿宋_GB2312" w:hAnsi="仿宋_GB2312" w:eastAsia="仿宋_GB2312" w:cs="仿宋_GB2312"/>
          <w:lang w:eastAsia="zh-CN"/>
        </w:rPr>
        <w:t>。</w:t>
      </w:r>
    </w:p>
    <w:tbl>
      <w:tblPr>
        <w:tblStyle w:val="7"/>
        <w:tblW w:w="9644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7"/>
        <w:gridCol w:w="1190"/>
        <w:gridCol w:w="737"/>
        <w:gridCol w:w="886"/>
        <w:gridCol w:w="5524"/>
      </w:tblGrid>
      <w:tr w14:paraId="120A5A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7D81F9">
            <w:pPr>
              <w:widowControl/>
              <w:jc w:val="center"/>
              <w:rPr>
                <w:rFonts w:ascii="仿宋" w:hAnsi="仿宋" w:eastAsia="仿宋" w:cs="宋体"/>
                <w:b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2"/>
              </w:rPr>
              <w:t>名称</w:t>
            </w:r>
          </w:p>
        </w:tc>
        <w:tc>
          <w:tcPr>
            <w:tcW w:w="11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379F17">
            <w:pPr>
              <w:widowControl/>
              <w:jc w:val="center"/>
              <w:rPr>
                <w:rFonts w:ascii="仿宋" w:hAnsi="仿宋" w:eastAsia="仿宋" w:cs="宋体"/>
                <w:b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2"/>
              </w:rPr>
              <w:t>规格</w:t>
            </w:r>
          </w:p>
        </w:tc>
        <w:tc>
          <w:tcPr>
            <w:tcW w:w="7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DCF445">
            <w:pPr>
              <w:widowControl/>
              <w:jc w:val="center"/>
              <w:rPr>
                <w:rFonts w:ascii="仿宋" w:hAnsi="仿宋" w:eastAsia="仿宋" w:cs="宋体"/>
                <w:b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2"/>
              </w:rPr>
              <w:t>单位</w:t>
            </w:r>
          </w:p>
        </w:tc>
        <w:tc>
          <w:tcPr>
            <w:tcW w:w="8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8D675A">
            <w:pPr>
              <w:widowControl/>
              <w:jc w:val="center"/>
              <w:rPr>
                <w:rFonts w:ascii="仿宋" w:hAnsi="仿宋" w:eastAsia="仿宋" w:cs="宋体"/>
                <w:b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2"/>
              </w:rPr>
              <w:t>数量</w:t>
            </w:r>
          </w:p>
        </w:tc>
        <w:tc>
          <w:tcPr>
            <w:tcW w:w="55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15CD22"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b/>
                <w:color w:val="000000"/>
                <w:kern w:val="0"/>
                <w:sz w:val="22"/>
              </w:rPr>
              <w:t>备注</w:t>
            </w:r>
          </w:p>
        </w:tc>
      </w:tr>
      <w:tr w14:paraId="546BE5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5" w:hRule="atLeast"/>
        </w:trPr>
        <w:tc>
          <w:tcPr>
            <w:tcW w:w="13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F21DCF">
            <w:pPr>
              <w:widowControl/>
              <w:jc w:val="center"/>
              <w:rPr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</w:rPr>
              <w:t>进口狂犬</w:t>
            </w:r>
            <w:r>
              <w:rPr>
                <w:rFonts w:hint="eastAsia" w:ascii="仿宋" w:hAnsi="仿宋" w:eastAsia="仿宋" w:cs="宋体"/>
                <w:kern w:val="0"/>
                <w:sz w:val="22"/>
                <w:lang w:eastAsia="zh-CN"/>
              </w:rPr>
              <w:t>病</w:t>
            </w:r>
            <w:r>
              <w:rPr>
                <w:rFonts w:hint="eastAsia" w:ascii="仿宋" w:hAnsi="仿宋" w:eastAsia="仿宋" w:cs="宋体"/>
                <w:kern w:val="0"/>
                <w:sz w:val="22"/>
              </w:rPr>
              <w:t>疫苗</w:t>
            </w:r>
          </w:p>
          <w:p w14:paraId="6AE7581A">
            <w:pPr>
              <w:widowControl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  <w:lang w:eastAsia="zh-CN"/>
              </w:rPr>
              <w:t>（</w:t>
            </w:r>
            <w:r>
              <w:rPr>
                <w:rFonts w:hint="eastAsia" w:ascii="仿宋" w:hAnsi="仿宋" w:eastAsia="仿宋" w:cs="宋体"/>
                <w:kern w:val="0"/>
                <w:sz w:val="22"/>
                <w:lang w:val="en-US" w:eastAsia="zh-CN"/>
              </w:rPr>
              <w:t>已论证</w:t>
            </w:r>
            <w:r>
              <w:rPr>
                <w:rFonts w:hint="eastAsia" w:ascii="仿宋" w:hAnsi="仿宋" w:eastAsia="仿宋" w:cs="宋体"/>
                <w:kern w:val="0"/>
                <w:sz w:val="22"/>
                <w:lang w:eastAsia="zh-CN"/>
              </w:rPr>
              <w:t>）</w:t>
            </w:r>
          </w:p>
        </w:tc>
        <w:tc>
          <w:tcPr>
            <w:tcW w:w="11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273207">
            <w:pPr>
              <w:widowControl/>
              <w:jc w:val="center"/>
              <w:rPr>
                <w:rFonts w:ascii="仿宋" w:hAnsi="仿宋" w:eastAsia="仿宋" w:cs="宋体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</w:rPr>
              <w:t>1头份/瓶</w:t>
            </w:r>
          </w:p>
        </w:tc>
        <w:tc>
          <w:tcPr>
            <w:tcW w:w="7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8C59CC">
            <w:pPr>
              <w:widowControl/>
              <w:jc w:val="center"/>
              <w:rPr>
                <w:rFonts w:ascii="仿宋" w:hAnsi="仿宋" w:eastAsia="仿宋" w:cs="宋体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</w:rPr>
              <w:t>头份</w:t>
            </w:r>
          </w:p>
        </w:tc>
        <w:tc>
          <w:tcPr>
            <w:tcW w:w="8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E18A6E">
            <w:pPr>
              <w:widowControl/>
              <w:jc w:val="center"/>
              <w:rPr>
                <w:rFonts w:ascii="仿宋" w:hAnsi="仿宋" w:eastAsia="仿宋" w:cs="宋体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  <w:lang w:val="en-US" w:eastAsia="zh-CN"/>
              </w:rPr>
              <w:t>6</w:t>
            </w:r>
            <w:r>
              <w:rPr>
                <w:rFonts w:hint="eastAsia" w:ascii="仿宋" w:hAnsi="仿宋" w:eastAsia="仿宋" w:cs="宋体"/>
                <w:kern w:val="0"/>
                <w:sz w:val="22"/>
              </w:rPr>
              <w:t>0000</w:t>
            </w:r>
          </w:p>
        </w:tc>
        <w:tc>
          <w:tcPr>
            <w:tcW w:w="55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9B0AB6"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1、产品质量符合现行《中国兽药典》对于进口生物制剂有关标准和规定。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2、免疫抗体合格率达 70%以上(如因疫苗原因未能达标，中标单位负责有关赔偿)。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3、疫苗规格为1头份/瓶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4、疫苗无蛋白致敏源，免疫反应死亡率低于 10 万分之一(因疫苗质量出现死亡情况的由中标单位负责赔偿)。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5、预防犬、猫狂犬病,接种后3周内产生免疫力，每年免疫一次，保护期不得少于一年。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 xml:space="preserve">6、疫苗保质期在18个月以上(从到货之日起计算时间)。                </w:t>
            </w:r>
          </w:p>
          <w:p w14:paraId="74CB9297"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7、疫苗包装有“西安专用”标识。</w:t>
            </w:r>
          </w:p>
        </w:tc>
      </w:tr>
      <w:tr w14:paraId="36B634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5" w:hRule="atLeast"/>
        </w:trPr>
        <w:tc>
          <w:tcPr>
            <w:tcW w:w="13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56B816">
            <w:pPr>
              <w:widowControl/>
              <w:jc w:val="center"/>
              <w:rPr>
                <w:rFonts w:ascii="仿宋" w:hAnsi="仿宋" w:eastAsia="仿宋" w:cs="宋体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</w:rPr>
              <w:t>国产狂犬</w:t>
            </w:r>
            <w:r>
              <w:rPr>
                <w:rFonts w:hint="eastAsia" w:ascii="仿宋" w:hAnsi="仿宋" w:eastAsia="仿宋" w:cs="宋体"/>
                <w:kern w:val="0"/>
                <w:sz w:val="22"/>
                <w:lang w:eastAsia="zh-CN"/>
              </w:rPr>
              <w:t>病</w:t>
            </w:r>
            <w:r>
              <w:rPr>
                <w:rFonts w:hint="eastAsia" w:ascii="仿宋" w:hAnsi="仿宋" w:eastAsia="仿宋" w:cs="宋体"/>
                <w:kern w:val="0"/>
                <w:sz w:val="22"/>
              </w:rPr>
              <w:t>疫苗</w:t>
            </w:r>
          </w:p>
        </w:tc>
        <w:tc>
          <w:tcPr>
            <w:tcW w:w="11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5EDBA3">
            <w:pPr>
              <w:widowControl/>
              <w:jc w:val="center"/>
              <w:rPr>
                <w:rFonts w:ascii="仿宋" w:hAnsi="仿宋" w:eastAsia="仿宋" w:cs="宋体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</w:rPr>
              <w:t>1头份/瓶</w:t>
            </w:r>
          </w:p>
        </w:tc>
        <w:tc>
          <w:tcPr>
            <w:tcW w:w="7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E3B6A7">
            <w:pPr>
              <w:widowControl/>
              <w:jc w:val="center"/>
              <w:rPr>
                <w:rFonts w:ascii="仿宋" w:hAnsi="仿宋" w:eastAsia="仿宋" w:cs="宋体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</w:rPr>
              <w:t>头份</w:t>
            </w:r>
          </w:p>
        </w:tc>
        <w:tc>
          <w:tcPr>
            <w:tcW w:w="8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F7A85A">
            <w:pPr>
              <w:widowControl/>
              <w:jc w:val="center"/>
              <w:rPr>
                <w:rFonts w:ascii="仿宋" w:hAnsi="仿宋" w:eastAsia="仿宋" w:cs="宋体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  <w:lang w:val="en-US" w:eastAsia="zh-CN"/>
              </w:rPr>
              <w:t>128</w:t>
            </w:r>
            <w:r>
              <w:rPr>
                <w:rFonts w:hint="eastAsia" w:ascii="仿宋" w:hAnsi="仿宋" w:eastAsia="仿宋" w:cs="宋体"/>
                <w:kern w:val="0"/>
                <w:sz w:val="22"/>
              </w:rPr>
              <w:t>000</w:t>
            </w:r>
          </w:p>
        </w:tc>
        <w:tc>
          <w:tcPr>
            <w:tcW w:w="55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0CE4F9"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1、产品质量及技术标准符合现行版《中华人民共和国兽药生物制品生产规程》，《中华人民共和国兽药生物制品质量标准》及农业部颁布的相关产品质量标准。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2、疫苗规格为1头份/瓶。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3、免疫抗体合格率达70%以上(如因疫苗原因未能达标，中标单位负责有关赔偿)。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4、预防犬、猫狂犬病，接种3周后产生免疫力，每年免疫一次,保护期不得少于一年。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5、疫苗保质期在18个月以上(从到货之日起计算时间)。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6、疫苗无蛋白致敏源，免疫反应死亡率低于10万分之一(因疫苗质量出现死亡情况的由中标单位负责赔偿)。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7、疫苗包装有“西安专用”标识。</w:t>
            </w:r>
          </w:p>
        </w:tc>
      </w:tr>
    </w:tbl>
    <w:p w14:paraId="6B6C87C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E067B3"/>
    <w:rsid w:val="0BBE058A"/>
    <w:rsid w:val="10F71157"/>
    <w:rsid w:val="189E7D31"/>
    <w:rsid w:val="233059B7"/>
    <w:rsid w:val="2B616AE6"/>
    <w:rsid w:val="38BE61C1"/>
    <w:rsid w:val="4C7E4632"/>
    <w:rsid w:val="57A12975"/>
    <w:rsid w:val="622B6BA4"/>
    <w:rsid w:val="64F84E51"/>
    <w:rsid w:val="76F62456"/>
    <w:rsid w:val="7BE06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3">
    <w:name w:val="heading 1"/>
    <w:basedOn w:val="1"/>
    <w:next w:val="1"/>
    <w:qFormat/>
    <w:uiPriority w:val="0"/>
    <w:pPr>
      <w:keepNext w:val="0"/>
      <w:keepLines w:val="0"/>
      <w:spacing w:before="340" w:beforeLines="0" w:beforeAutospacing="0" w:after="330" w:afterLines="0" w:afterAutospacing="0" w:line="576" w:lineRule="auto"/>
      <w:jc w:val="center"/>
      <w:outlineLvl w:val="0"/>
    </w:pPr>
    <w:rPr>
      <w:rFonts w:ascii="Times New Roman" w:hAnsi="Times New Roman" w:eastAsia="宋体" w:cs="Times New Roman"/>
      <w:b/>
      <w:kern w:val="44"/>
      <w:sz w:val="32"/>
      <w:szCs w:val="24"/>
    </w:rPr>
  </w:style>
  <w:style w:type="paragraph" w:styleId="4">
    <w:name w:val="heading 2"/>
    <w:next w:val="1"/>
    <w:autoRedefine/>
    <w:semiHidden/>
    <w:unhideWhenUsed/>
    <w:qFormat/>
    <w:uiPriority w:val="0"/>
    <w:pPr>
      <w:keepNext/>
      <w:widowControl w:val="0"/>
      <w:spacing w:before="240" w:beforeLines="0" w:beforeAutospacing="0" w:after="60" w:afterLines="0" w:afterAutospacing="0" w:line="360" w:lineRule="auto"/>
      <w:jc w:val="center"/>
      <w:outlineLvl w:val="1"/>
    </w:pPr>
    <w:rPr>
      <w:rFonts w:ascii="Arial" w:hAnsi="Arial" w:eastAsia="宋体" w:cs="Times New Roman"/>
      <w:kern w:val="0"/>
      <w:sz w:val="28"/>
      <w:szCs w:val="20"/>
      <w:lang w:val="en-US" w:eastAsia="zh-CN" w:bidi="ar-SA"/>
    </w:rPr>
  </w:style>
  <w:style w:type="paragraph" w:styleId="5">
    <w:name w:val="heading 3"/>
    <w:basedOn w:val="1"/>
    <w:next w:val="1"/>
    <w:semiHidden/>
    <w:unhideWhenUsed/>
    <w:qFormat/>
    <w:uiPriority w:val="0"/>
    <w:pPr>
      <w:kinsoku w:val="0"/>
      <w:overflowPunct w:val="0"/>
      <w:autoSpaceDE w:val="0"/>
      <w:autoSpaceDN w:val="0"/>
      <w:spacing w:beforeLines="0" w:afterLines="0" w:line="360" w:lineRule="auto"/>
      <w:jc w:val="center"/>
      <w:outlineLvl w:val="2"/>
    </w:pPr>
    <w:rPr>
      <w:rFonts w:ascii="Times New Roman" w:hAnsi="Times New Roman" w:eastAsia="宋体" w:cs="Times New Roman"/>
      <w:b/>
      <w:color w:val="000000" w:themeColor="text1"/>
      <w:kern w:val="0"/>
      <w:sz w:val="21"/>
      <w:szCs w:val="20"/>
      <w14:textFill>
        <w14:solidFill>
          <w14:schemeClr w14:val="tx1"/>
        </w14:solidFill>
      </w14:textFill>
    </w:rPr>
  </w:style>
  <w:style w:type="paragraph" w:styleId="2">
    <w:name w:val="heading 4"/>
    <w:basedOn w:val="1"/>
    <w:next w:val="1"/>
    <w:unhideWhenUsed/>
    <w:qFormat/>
    <w:uiPriority w:val="0"/>
    <w:pPr>
      <w:keepNext/>
      <w:keepLines/>
      <w:jc w:val="left"/>
      <w:outlineLvl w:val="3"/>
    </w:pPr>
    <w:rPr>
      <w:rFonts w:hint="eastAsia" w:ascii="Arial" w:hAnsi="Arial"/>
      <w:b/>
      <w:sz w:val="32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qFormat/>
    <w:uiPriority w:val="0"/>
    <w:pPr>
      <w:spacing w:after="120" w:afterLines="0" w:afterAutospacing="0"/>
    </w:pPr>
  </w:style>
  <w:style w:type="paragraph" w:customStyle="1" w:styleId="9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2026-08-28T07:54:00Z</dcterms:created>
  <dc:creator>dell</dc:creator>
  <cp:lastModifiedBy>dell</cp:lastModifiedBy>
  <dcterms:modified xsi:type="dcterms:W3CDTF">2026-08-28T07:54:51Z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3A45693AF053497DA3B8EF87136DAC39_11</vt:lpwstr>
  </property>
  <property fmtid="{D5CDD505-2E9C-101B-9397-08002B2CF9AE}" pid="4" name="KSOTemplateDocerSaveRecord">
    <vt:lpwstr>eyJoZGlkIjoiMTQzNzM0NGMxZjdiNzg1N2FhNTkzNjY0MjQwYmMwODIiLCJ1c2VySWQiOiIxNjUxNzc2OTAyIn0=</vt:lpwstr>
  </property>
</Properties>
</file>