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版本号：ZCSP-渭南高新区-2026-00023、XHLJZC-WN2026-04320260521001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渭南高新区城乡生活处置中转站车辆购置项目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ZCSP-渭南高新区-2026-00023、XHLJZC-WN2026-043</w:t>
      </w:r>
      <w:r>
        <w:br/>
      </w:r>
      <w:r>
        <w:br/>
      </w:r>
      <w:r>
        <w:br/>
      </w:r>
    </w:p>
    <w:p>
      <w:pPr>
        <w:pStyle w:val="null3"/>
        <w:jc w:val="center"/>
        <w:outlineLvl w:val="2"/>
      </w:pPr>
      <w:r>
        <w:rPr>
          <w:rFonts w:ascii="仿宋_GB2312" w:hAnsi="仿宋_GB2312" w:cs="仿宋_GB2312" w:eastAsia="仿宋_GB2312"/>
          <w:sz w:val="28"/>
          <w:b/>
        </w:rPr>
        <w:t>渭南高新区城市管理处</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渭南高新区城市管理处</w:t>
      </w:r>
      <w:r>
        <w:rPr>
          <w:rFonts w:ascii="仿宋_GB2312" w:hAnsi="仿宋_GB2312" w:cs="仿宋_GB2312" w:eastAsia="仿宋_GB2312"/>
        </w:rPr>
        <w:t>委托，拟对</w:t>
      </w:r>
      <w:r>
        <w:rPr>
          <w:rFonts w:ascii="仿宋_GB2312" w:hAnsi="仿宋_GB2312" w:cs="仿宋_GB2312" w:eastAsia="仿宋_GB2312"/>
        </w:rPr>
        <w:t>渭南高新区城乡生活处置中转站车辆购置项目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ZCSP-渭南高新区-2026-00023、XHLJZC-WN2026-043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渭南高新区城乡生活处置中转站车辆购置项目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渭南高新区城乡生活处置中转站车辆购置,具体详见招标文件。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2024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1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渭南高新区城市管理处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渭南高新区朝阳大街西段58号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潘小钰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0913-2115182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赵温馨、毛嘉伟、樊锐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029-82528801、029-89183511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高新区政府采购管理股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贺晓静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0913-2111101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开户名称：西安欣华联建工程咨询有限公司</w:t>
            </w:r>
          </w:p>
          <w:p>
            <w:pPr>
              <w:pStyle w:val="null3"/>
            </w:pPr>
            <w:r>
              <w:rPr>
                <w:rFonts w:ascii="仿宋_GB2312" w:hAnsi="仿宋_GB2312" w:cs="仿宋_GB2312" w:eastAsia="仿宋_GB2312"/>
              </w:rPr>
              <w:t>开户银行：西安银行软件园支行</w:t>
            </w:r>
          </w:p>
          <w:p>
            <w:pPr>
              <w:pStyle w:val="null3"/>
            </w:pPr>
            <w:r>
              <w:rPr>
                <w:rFonts w:ascii="仿宋_GB2312" w:hAnsi="仿宋_GB2312" w:cs="仿宋_GB2312" w:eastAsia="仿宋_GB2312"/>
              </w:rPr>
              <w:t>银行账号：912011580000191348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国家发改委办公厅关于招标代理服务收费有关问题的通知》（发改办价格〔2003〕857号）的规定标准执行，按差额定率累进法收取费用，100万以下按1.5%收取，100万-500万按1.1%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渭南高新区城市管理处</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渭南高新区城市管理处</w:t>
      </w:r>
      <w:r>
        <w:rPr>
          <w:rFonts w:ascii="仿宋_GB2312" w:hAnsi="仿宋_GB2312" w:cs="仿宋_GB2312" w:eastAsia="仿宋_GB2312"/>
        </w:rPr>
        <w:t>负责解释。除上述招标文件内容，其他内容由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渭南高新区城市管理处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联系人：赵温馨、毛嘉伟、樊锐</w:t>
      </w:r>
    </w:p>
    <w:p>
      <w:pPr>
        <w:pStyle w:val="null3"/>
      </w:pPr>
      <w:r>
        <w:rPr>
          <w:rFonts w:ascii="仿宋_GB2312" w:hAnsi="仿宋_GB2312" w:cs="仿宋_GB2312" w:eastAsia="仿宋_GB2312"/>
        </w:rPr>
        <w:t>联系电话：029-82528801</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渭南高新区城乡生活处置中转站车辆购置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3,600,000.00</w:t>
      </w:r>
    </w:p>
    <w:p>
      <w:pPr>
        <w:pStyle w:val="null3"/>
      </w:pPr>
      <w:r>
        <w:rPr>
          <w:rFonts w:ascii="仿宋_GB2312" w:hAnsi="仿宋_GB2312" w:cs="仿宋_GB2312" w:eastAsia="仿宋_GB2312"/>
        </w:rPr>
        <w:t>采购包最高限价（元）: 3,600,000.00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渭南高新区城乡生活处置中转站车辆购置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标的名称：渭南高新区城乡生活处置中转站车辆购置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55"/>
              <w:gridCol w:w="1536"/>
              <w:gridCol w:w="303"/>
              <w:gridCol w:w="262"/>
            </w:tblGrid>
            <w:tr>
              <w:tc>
                <w:tcPr>
                  <w:tcW w:type="dxa" w:w="3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纯电动车厢可卸式垃圾车（核心产品）</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车厢可卸式垃圾车</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其他附属设备（充电</w:t>
                  </w:r>
                  <w:r>
                    <w:rPr>
                      <w:rFonts w:ascii="仿宋_GB2312" w:hAnsi="仿宋_GB2312" w:cs="仿宋_GB2312" w:eastAsia="仿宋_GB2312"/>
                      <w:sz w:val="21"/>
                      <w:color w:val="000000"/>
                    </w:rPr>
                    <w:t>桩安装调试及配套预埋电缆（150米）、土地开挖</w:t>
                  </w:r>
                  <w:r>
                    <w:rPr>
                      <w:rFonts w:ascii="仿宋_GB2312" w:hAnsi="仿宋_GB2312" w:cs="仿宋_GB2312" w:eastAsia="仿宋_GB2312"/>
                      <w:sz w:val="21"/>
                      <w:color w:val="000000"/>
                    </w:rPr>
                    <w:t>、现场水泥地面增高、雨棚等）</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bl>
          <w:p>
            <w:pPr>
              <w:pStyle w:val="null3"/>
              <w:jc w:val="center"/>
            </w:pPr>
            <w:r>
              <w:rPr>
                <w:rFonts w:ascii="仿宋_GB2312" w:hAnsi="仿宋_GB2312" w:cs="仿宋_GB2312" w:eastAsia="仿宋_GB2312"/>
                <w:sz w:val="21"/>
                <w:b/>
              </w:rPr>
              <w:t>纯电动车厢可卸式垃圾车技术参数要求（核心产品）</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外形尺寸(mm)</w:t>
            </w:r>
            <w:r>
              <w:rPr>
                <w:rFonts w:ascii="仿宋_GB2312" w:hAnsi="仿宋_GB2312" w:cs="仿宋_GB2312" w:eastAsia="仿宋_GB2312"/>
                <w:sz w:val="21"/>
                <w:color w:val="000000"/>
              </w:rPr>
              <w:t>（</w:t>
            </w:r>
            <w:r>
              <w:rPr>
                <w:rFonts w:ascii="仿宋_GB2312" w:hAnsi="仿宋_GB2312" w:cs="仿宋_GB2312" w:eastAsia="仿宋_GB2312"/>
                <w:sz w:val="21"/>
                <w:color w:val="000000"/>
              </w:rPr>
              <w:t>长×宽×高）≥9450×2500×32</w:t>
            </w:r>
            <w:r>
              <w:rPr>
                <w:rFonts w:ascii="仿宋_GB2312" w:hAnsi="仿宋_GB2312" w:cs="仿宋_GB2312" w:eastAsia="仿宋_GB2312"/>
                <w:sz w:val="21"/>
                <w:color w:val="000000"/>
              </w:rPr>
              <w:t>4</w:t>
            </w:r>
            <w:r>
              <w:rPr>
                <w:rFonts w:ascii="仿宋_GB2312" w:hAnsi="仿宋_GB2312" w:cs="仿宋_GB2312" w:eastAsia="仿宋_GB2312"/>
                <w:sz w:val="21"/>
                <w:color w:val="000000"/>
              </w:rPr>
              <w:t>0</w:t>
            </w:r>
          </w:p>
          <w:p>
            <w:pPr>
              <w:pStyle w:val="null3"/>
            </w:pPr>
            <w:r>
              <w:rPr>
                <w:rFonts w:ascii="仿宋_GB2312" w:hAnsi="仿宋_GB2312" w:cs="仿宋_GB2312" w:eastAsia="仿宋_GB2312"/>
                <w:sz w:val="21"/>
                <w:color w:val="000000"/>
              </w:rPr>
              <w:t>2.总质量(kg)≥31000</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额定载质量(kg)≥15800</w:t>
            </w:r>
          </w:p>
          <w:p>
            <w:pPr>
              <w:pStyle w:val="null3"/>
            </w:pPr>
            <w:r>
              <w:rPr>
                <w:rFonts w:ascii="仿宋_GB2312" w:hAnsi="仿宋_GB2312" w:cs="仿宋_GB2312" w:eastAsia="仿宋_GB2312"/>
                <w:sz w:val="21"/>
                <w:color w:val="000000"/>
              </w:rPr>
              <w:t>4.整备质量(kg)≤15000</w:t>
            </w:r>
          </w:p>
          <w:p>
            <w:pPr>
              <w:pStyle w:val="null3"/>
            </w:pPr>
            <w:r>
              <w:rPr>
                <w:rFonts w:ascii="仿宋_GB2312" w:hAnsi="仿宋_GB2312" w:cs="仿宋_GB2312" w:eastAsia="仿宋_GB2312"/>
                <w:sz w:val="21"/>
                <w:color w:val="000000"/>
              </w:rPr>
              <w:t>5.电池类型:磷酸铁锂电池</w:t>
            </w:r>
          </w:p>
          <w:p>
            <w:pPr>
              <w:pStyle w:val="null3"/>
            </w:pPr>
            <w:r>
              <w:rPr>
                <w:rFonts w:ascii="仿宋_GB2312" w:hAnsi="仿宋_GB2312" w:cs="仿宋_GB2312" w:eastAsia="仿宋_GB2312"/>
                <w:sz w:val="21"/>
                <w:color w:val="000000"/>
              </w:rPr>
              <w:t>6.▲电池总储电量(kwh)≥350</w:t>
            </w:r>
          </w:p>
          <w:p>
            <w:pPr>
              <w:pStyle w:val="null3"/>
            </w:pPr>
            <w:r>
              <w:rPr>
                <w:rFonts w:ascii="仿宋_GB2312" w:hAnsi="仿宋_GB2312" w:cs="仿宋_GB2312" w:eastAsia="仿宋_GB2312"/>
                <w:sz w:val="21"/>
                <w:color w:val="000000"/>
              </w:rPr>
              <w:t>7.▲接近角/离去角(°)≥16/20</w:t>
            </w:r>
          </w:p>
          <w:p>
            <w:pPr>
              <w:pStyle w:val="null3"/>
            </w:pPr>
            <w:r>
              <w:rPr>
                <w:rFonts w:ascii="仿宋_GB2312" w:hAnsi="仿宋_GB2312" w:cs="仿宋_GB2312" w:eastAsia="仿宋_GB2312"/>
                <w:sz w:val="21"/>
                <w:color w:val="000000"/>
              </w:rPr>
              <w:t>8</w:t>
            </w:r>
            <w:r>
              <w:rPr>
                <w:rFonts w:ascii="仿宋_GB2312" w:hAnsi="仿宋_GB2312" w:cs="仿宋_GB2312" w:eastAsia="仿宋_GB2312"/>
                <w:sz w:val="21"/>
                <w:color w:val="000000"/>
              </w:rPr>
              <w:t>.钩心高度(mm):1570±10</w:t>
            </w:r>
          </w:p>
          <w:p>
            <w:pPr>
              <w:pStyle w:val="null3"/>
            </w:pPr>
            <w:r>
              <w:rPr>
                <w:rFonts w:ascii="仿宋_GB2312" w:hAnsi="仿宋_GB2312" w:cs="仿宋_GB2312" w:eastAsia="仿宋_GB2312"/>
                <w:sz w:val="21"/>
                <w:color w:val="000000"/>
              </w:rPr>
              <w:t>9</w:t>
            </w:r>
            <w:r>
              <w:rPr>
                <w:rFonts w:ascii="仿宋_GB2312" w:hAnsi="仿宋_GB2312" w:cs="仿宋_GB2312" w:eastAsia="仿宋_GB2312"/>
                <w:sz w:val="21"/>
                <w:color w:val="000000"/>
              </w:rPr>
              <w:t>.外导入宽度(mm):1070±10</w:t>
            </w:r>
            <w:r>
              <w:rPr>
                <w:rFonts w:ascii="仿宋_GB2312" w:hAnsi="仿宋_GB2312" w:cs="仿宋_GB2312" w:eastAsia="仿宋_GB2312"/>
                <w:sz w:val="21"/>
                <w:color w:val="000000"/>
              </w:rPr>
              <w:t xml:space="preserve"> </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.▲额定提升能力(t)≥20</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.上装液压系统压力(Mpa)≥30</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.拉臂装置需装有箱体锁，用于锁紧箱体，限制箱体移动。</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.拉臂上装需设置有多层电液互锁逻辑控制装置。</w:t>
            </w:r>
          </w:p>
          <w:p>
            <w:pPr>
              <w:pStyle w:val="null3"/>
            </w:pPr>
            <w:r>
              <w:rPr>
                <w:rFonts w:ascii="仿宋_GB2312" w:hAnsi="仿宋_GB2312" w:cs="仿宋_GB2312" w:eastAsia="仿宋_GB2312"/>
                <w:sz w:val="21"/>
                <w:color w:val="000000"/>
              </w:rPr>
              <w:t>14.</w:t>
            </w:r>
            <w:r>
              <w:rPr>
                <w:rFonts w:ascii="仿宋_GB2312" w:hAnsi="仿宋_GB2312" w:cs="仿宋_GB2312" w:eastAsia="仿宋_GB2312"/>
                <w:sz w:val="21"/>
                <w:color w:val="000000"/>
              </w:rPr>
              <w:t>在驾驶室内操作者需可通过操作盒完成所有动作的控制。</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.液压系统中需设置箱体缓冲回落装置，车辆需配置蜂鸣器。</w:t>
            </w:r>
          </w:p>
          <w:p>
            <w:pPr>
              <w:pStyle w:val="null3"/>
            </w:pPr>
            <w:r>
              <w:rPr>
                <w:rFonts w:ascii="仿宋_GB2312" w:hAnsi="仿宋_GB2312" w:cs="仿宋_GB2312" w:eastAsia="仿宋_GB2312"/>
                <w:sz w:val="21"/>
                <w:color w:val="000000"/>
              </w:rPr>
              <w:t>16.</w:t>
            </w:r>
            <w:r>
              <w:rPr>
                <w:rFonts w:ascii="仿宋_GB2312" w:hAnsi="仿宋_GB2312" w:cs="仿宋_GB2312" w:eastAsia="仿宋_GB2312"/>
                <w:sz w:val="21"/>
                <w:color w:val="000000"/>
              </w:rPr>
              <w:t>车辆尾部需安装有后滚轮支撑装置，车辆需装配有安全支撑装置。</w:t>
            </w:r>
          </w:p>
          <w:p>
            <w:pPr>
              <w:pStyle w:val="null3"/>
              <w:jc w:val="center"/>
            </w:pPr>
            <w:r>
              <w:rPr>
                <w:rFonts w:ascii="仿宋_GB2312" w:hAnsi="仿宋_GB2312" w:cs="仿宋_GB2312" w:eastAsia="仿宋_GB2312"/>
                <w:sz w:val="21"/>
                <w:b/>
                <w:color w:val="000000"/>
              </w:rPr>
              <w:t>小型</w:t>
            </w:r>
            <w:r>
              <w:rPr>
                <w:rFonts w:ascii="仿宋_GB2312" w:hAnsi="仿宋_GB2312" w:cs="仿宋_GB2312" w:eastAsia="仿宋_GB2312"/>
                <w:sz w:val="21"/>
                <w:b/>
                <w:color w:val="000000"/>
              </w:rPr>
              <w:t>车厢可卸式垃圾车技术参数要求</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外形尺寸(mm)长×宽×高≥4600×1500×1950</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发动机功率(kw)≥90，汽油，国Ⅵ排放</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最大总质量(kg)≥3400</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▲额定载质量(kg)≥1850</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整备质量(kg)≤1500</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轴距(mm)≥2990</w:t>
            </w:r>
          </w:p>
          <w:p>
            <w:pPr>
              <w:pStyle w:val="null3"/>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▲接近角/离去(°)≥40/25</w:t>
            </w:r>
          </w:p>
          <w:p>
            <w:pPr>
              <w:pStyle w:val="null3"/>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▲前悬/后悬(mm)≤750/900</w:t>
            </w:r>
          </w:p>
          <w:p>
            <w:pPr>
              <w:pStyle w:val="null3"/>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轮胎数量≥6个</w:t>
            </w:r>
          </w:p>
          <w:p>
            <w:pPr>
              <w:pStyle w:val="null3"/>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额定提升能力(t)≥1</w:t>
            </w:r>
          </w:p>
          <w:p>
            <w:pPr>
              <w:pStyle w:val="null3"/>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钩心高度(mm)≥113</w:t>
            </w:r>
            <w:r>
              <w:rPr>
                <w:rFonts w:ascii="仿宋_GB2312" w:hAnsi="仿宋_GB2312" w:cs="仿宋_GB2312" w:eastAsia="仿宋_GB2312"/>
                <w:sz w:val="21"/>
                <w:color w:val="000000"/>
              </w:rPr>
              <w:t>0</w:t>
            </w:r>
          </w:p>
          <w:p>
            <w:pPr>
              <w:pStyle w:val="null3"/>
            </w:pP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外导入宽度(mm)≥92</w:t>
            </w:r>
            <w:r>
              <w:rPr>
                <w:rFonts w:ascii="仿宋_GB2312" w:hAnsi="仿宋_GB2312" w:cs="仿宋_GB2312" w:eastAsia="仿宋_GB2312"/>
                <w:sz w:val="21"/>
                <w:color w:val="000000"/>
              </w:rPr>
              <w:t>0</w:t>
            </w:r>
          </w:p>
          <w:p>
            <w:pPr>
              <w:pStyle w:val="null3"/>
            </w:pP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21"/>
                <w:color w:val="000000"/>
              </w:rPr>
              <w:t>液压系统最大压力(Mpa)≥18</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驾驶室配置原厂冷暖空调，方向助力，可挂蓝色牌照。</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拉臂设计为整体式结构，控制箱、油箱、备胎等均布置于拉臂车架上。</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液压系统在拉臂控制回路中加装平衡阀，使油缸的举升力均匀一致。</w:t>
            </w:r>
          </w:p>
          <w:p>
            <w:pPr>
              <w:pStyle w:val="null3"/>
              <w:jc w:val="center"/>
            </w:pPr>
            <w:r>
              <w:rPr>
                <w:rFonts w:ascii="仿宋_GB2312" w:hAnsi="仿宋_GB2312" w:cs="仿宋_GB2312" w:eastAsia="仿宋_GB2312"/>
                <w:sz w:val="21"/>
                <w:b/>
                <w:color w:val="000000"/>
              </w:rPr>
              <w:t>附属</w:t>
            </w:r>
            <w:r>
              <w:rPr>
                <w:rFonts w:ascii="仿宋_GB2312" w:hAnsi="仿宋_GB2312" w:cs="仿宋_GB2312" w:eastAsia="仿宋_GB2312"/>
                <w:sz w:val="21"/>
                <w:b/>
                <w:color w:val="000000"/>
              </w:rPr>
              <w:t>配套设备技术</w:t>
            </w:r>
            <w:r>
              <w:rPr>
                <w:rFonts w:ascii="仿宋_GB2312" w:hAnsi="仿宋_GB2312" w:cs="仿宋_GB2312" w:eastAsia="仿宋_GB2312"/>
                <w:sz w:val="21"/>
                <w:b/>
                <w:color w:val="000000"/>
              </w:rPr>
              <w:t>参数</w:t>
            </w:r>
            <w:r>
              <w:rPr>
                <w:rFonts w:ascii="仿宋_GB2312" w:hAnsi="仿宋_GB2312" w:cs="仿宋_GB2312" w:eastAsia="仿宋_GB2312"/>
                <w:sz w:val="21"/>
                <w:b/>
                <w:color w:val="000000"/>
              </w:rPr>
              <w:t>要求</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充电桩输出电流(KW)≥120</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充电桩防护等级≥</w:t>
            </w:r>
            <w:r>
              <w:rPr>
                <w:rFonts w:ascii="仿宋_GB2312" w:hAnsi="仿宋_GB2312" w:cs="仿宋_GB2312" w:eastAsia="仿宋_GB2312"/>
                <w:sz w:val="21"/>
                <w:color w:val="000000"/>
              </w:rPr>
              <w:t>IP</w:t>
            </w:r>
            <w:r>
              <w:rPr>
                <w:rFonts w:ascii="仿宋_GB2312" w:hAnsi="仿宋_GB2312" w:cs="仿宋_GB2312" w:eastAsia="仿宋_GB2312"/>
                <w:sz w:val="21"/>
                <w:color w:val="000000"/>
              </w:rPr>
              <w:t>54</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充电桩</w:t>
            </w:r>
            <w:r>
              <w:rPr>
                <w:rFonts w:ascii="仿宋_GB2312" w:hAnsi="仿宋_GB2312" w:cs="仿宋_GB2312" w:eastAsia="仿宋_GB2312"/>
                <w:sz w:val="21"/>
                <w:color w:val="000000"/>
              </w:rPr>
              <w:t>枪线(米)</w:t>
            </w:r>
            <w:r>
              <w:rPr>
                <w:rFonts w:ascii="仿宋_GB2312" w:hAnsi="仿宋_GB2312" w:cs="仿宋_GB2312" w:eastAsia="仿宋_GB2312"/>
                <w:sz w:val="21"/>
                <w:color w:val="000000"/>
              </w:rPr>
              <w:t>长</w:t>
            </w:r>
            <w:r>
              <w:rPr>
                <w:rFonts w:ascii="仿宋_GB2312" w:hAnsi="仿宋_GB2312" w:cs="仿宋_GB2312" w:eastAsia="仿宋_GB2312"/>
                <w:sz w:val="21"/>
                <w:color w:val="000000"/>
              </w:rPr>
              <w:t>≥7</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提供不少于150米的电缆，国标包检；配置配电柜1套。</w:t>
            </w:r>
          </w:p>
          <w:p>
            <w:pPr>
              <w:pStyle w:val="null3"/>
              <w:jc w:val="left"/>
            </w:pPr>
            <w:r>
              <w:rPr>
                <w:rFonts w:ascii="仿宋_GB2312" w:hAnsi="仿宋_GB2312" w:cs="仿宋_GB2312" w:eastAsia="仿宋_GB2312"/>
                <w:sz w:val="21"/>
                <w:color w:val="000000"/>
              </w:rPr>
              <w:t>5.充电设备具有</w:t>
            </w:r>
            <w:r>
              <w:rPr>
                <w:rFonts w:ascii="仿宋_GB2312" w:hAnsi="仿宋_GB2312" w:cs="仿宋_GB2312" w:eastAsia="仿宋_GB2312"/>
                <w:sz w:val="21"/>
                <w:color w:val="000000"/>
              </w:rPr>
              <w:t>充满自停功能，当设备检测到电动车充满后，自动断电</w:t>
            </w:r>
            <w:r>
              <w:rPr>
                <w:rFonts w:ascii="仿宋_GB2312" w:hAnsi="仿宋_GB2312" w:cs="仿宋_GB2312" w:eastAsia="仿宋_GB2312"/>
                <w:sz w:val="21"/>
                <w:color w:val="000000"/>
              </w:rPr>
              <w:t>;</w:t>
            </w:r>
            <w:r>
              <w:rPr>
                <w:rFonts w:ascii="仿宋_GB2312" w:hAnsi="仿宋_GB2312" w:cs="仿宋_GB2312" w:eastAsia="仿宋_GB2312"/>
                <w:sz w:val="21"/>
                <w:color w:val="000000"/>
              </w:rPr>
              <w:t>空载断电功能，用户拔掉充电器或充电器插头未插紧时自动断电</w:t>
            </w:r>
            <w:r>
              <w:rPr>
                <w:rFonts w:ascii="仿宋_GB2312" w:hAnsi="仿宋_GB2312" w:cs="仿宋_GB2312" w:eastAsia="仿宋_GB2312"/>
                <w:sz w:val="21"/>
                <w:color w:val="000000"/>
              </w:rPr>
              <w:t>;</w:t>
            </w:r>
            <w:r>
              <w:rPr>
                <w:rFonts w:ascii="仿宋_GB2312" w:hAnsi="仿宋_GB2312" w:cs="仿宋_GB2312" w:eastAsia="仿宋_GB2312"/>
                <w:sz w:val="21"/>
                <w:color w:val="000000"/>
              </w:rPr>
              <w:t>过载保护，超出单路可承受最大功率时，自动断电</w:t>
            </w:r>
            <w:r>
              <w:rPr>
                <w:rFonts w:ascii="仿宋_GB2312" w:hAnsi="仿宋_GB2312" w:cs="仿宋_GB2312" w:eastAsia="仿宋_GB2312"/>
                <w:sz w:val="21"/>
                <w:color w:val="000000"/>
              </w:rPr>
              <w:t>等多项安全</w:t>
            </w:r>
            <w:r>
              <w:rPr>
                <w:rFonts w:ascii="仿宋_GB2312" w:hAnsi="仿宋_GB2312" w:cs="仿宋_GB2312" w:eastAsia="仿宋_GB2312"/>
                <w:sz w:val="21"/>
                <w:color w:val="000000"/>
              </w:rPr>
              <w:t>保护功能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满足车辆安全充电要求。</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充电桩配套防护</w:t>
            </w:r>
            <w:r>
              <w:rPr>
                <w:rFonts w:ascii="仿宋_GB2312" w:hAnsi="仿宋_GB2312" w:cs="仿宋_GB2312" w:eastAsia="仿宋_GB2312"/>
                <w:sz w:val="21"/>
                <w:color w:val="000000"/>
              </w:rPr>
              <w:t>棚</w:t>
            </w:r>
            <w:r>
              <w:rPr>
                <w:rFonts w:ascii="仿宋_GB2312" w:hAnsi="仿宋_GB2312" w:cs="仿宋_GB2312" w:eastAsia="仿宋_GB2312"/>
                <w:sz w:val="21"/>
                <w:color w:val="000000"/>
              </w:rPr>
              <w:t>一座，采用</w:t>
            </w:r>
            <w:r>
              <w:rPr>
                <w:rFonts w:ascii="仿宋_GB2312" w:hAnsi="仿宋_GB2312" w:cs="仿宋_GB2312" w:eastAsia="仿宋_GB2312"/>
                <w:sz w:val="21"/>
                <w:color w:val="000000"/>
              </w:rPr>
              <w:t>膜结构七字型拉杆雨棚，前≥3.1米</w:t>
            </w:r>
            <w:r>
              <w:rPr>
                <w:rFonts w:ascii="仿宋_GB2312" w:hAnsi="仿宋_GB2312" w:cs="仿宋_GB2312" w:eastAsia="仿宋_GB2312"/>
                <w:sz w:val="21"/>
                <w:color w:val="000000"/>
              </w:rPr>
              <w:t>，</w:t>
            </w:r>
            <w:r>
              <w:rPr>
                <w:rFonts w:ascii="仿宋_GB2312" w:hAnsi="仿宋_GB2312" w:cs="仿宋_GB2312" w:eastAsia="仿宋_GB2312"/>
                <w:sz w:val="21"/>
                <w:color w:val="000000"/>
              </w:rPr>
              <w:t>后高≥2.2米，尺寸≥长24m*宽3m，膜材选用白色，基布选用不低于1300D高强度低纱聚酯丝，拉力5100~6000牛，表层PVC需要防霉防腐处理、自洁性能强、B1级防火阻燃，透光率9%</w:t>
            </w:r>
            <w:r>
              <w:rPr>
                <w:rFonts w:ascii="仿宋_GB2312" w:hAnsi="仿宋_GB2312" w:cs="仿宋_GB2312" w:eastAsia="仿宋_GB2312"/>
                <w:sz w:val="21"/>
                <w:color w:val="000000"/>
              </w:rPr>
              <w:t>以上</w:t>
            </w:r>
            <w:r>
              <w:rPr>
                <w:rFonts w:ascii="仿宋_GB2312" w:hAnsi="仿宋_GB2312" w:cs="仿宋_GB2312" w:eastAsia="仿宋_GB2312"/>
                <w:sz w:val="21"/>
                <w:color w:val="00000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合同签订后15个工作日完成供货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渭南高新区城市管理处指定地点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其他，验收合格无质量问题后，达到付款条件起10个工作日内，支付合同总金额的70.0%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（1）应有产品合格证、检测报告、产品说明书、保修证明以及相应产品的检定证书和其他应具有的单证； （2）质量符合国家法律法规规定的合格标准、招标文件、投标文件的要求。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本项目所有设备质保期一年（其中三电系统质保不少于8年或20万公里）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采购人逾期付款，应就逾期部分向供应商支付按照中国人民银行规定的同期贷款基准利率计算的逾期付款违约金。2、采购人违反合同规定拒绝接收货物的，应当承担由此对供应商造成的损失。3、供应商不能按期交货的，每逾期1日，应向采购人赔付合同总价的0.1%作为违约金。4、供应商所提供的服务不符合国家法律法规和合同规定的，采购人有权拒收，并由供应商承担一切费用。 争议解决：双方本着友好合作的态度,对合同履行过程中发生的违约行为进行及时的协商解决,如不能协商解决可向采购人住所地法院起诉。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提供2025年1月以来任意3个月依法缴纳税收和社会保险的相关证明材料；注：依法免税或不需要缴纳社会保险的供应商提供相关部门出具的证明文件；（以税款所属时期为准）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 （实质性要求）</w:t>
            </w:r>
          </w:p>
        </w:tc>
        <w:tc>
          <w:tcPr>
            <w:tcW w:type="dxa" w:w="3322"/>
          </w:tcPr>
          <w:p>
            <w:pPr>
              <w:pStyle w:val="null3"/>
            </w:pPr>
            <w:r>
              <w:rPr>
                <w:rFonts w:ascii="仿宋_GB2312" w:hAnsi="仿宋_GB2312" w:cs="仿宋_GB2312" w:eastAsia="仿宋_GB2312"/>
              </w:rPr>
              <w:t>投标文件、投标函加盖单位公章、经法定代表人或被授权委托人签字或盖章</w:t>
            </w:r>
          </w:p>
        </w:tc>
        <w:tc>
          <w:tcPr>
            <w:tcW w:type="dxa" w:w="1661"/>
          </w:tcPr>
          <w:p>
            <w:pPr>
              <w:pStyle w:val="null3"/>
            </w:pPr>
            <w:r>
              <w:rPr>
                <w:rFonts w:ascii="仿宋_GB2312" w:hAnsi="仿宋_GB2312" w:cs="仿宋_GB2312" w:eastAsia="仿宋_GB2312"/>
              </w:rPr>
              <w:t>开标一览表 分项报价表 本国产品说明 中小企业声明函 技术要求响应表 中国境内生产的组件成本核算基本规则 商务要求响应表 投标方案说明 政府采购供应商拒绝政府采购领域商业贿赂承诺书 投标函 残疾人福利性单位声明函 投标保证金缴纳凭证及退还申请表 标的清单 关于符合本国产品标准的声明函 投标文件封面 供应商承诺书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 （实质性要求）</w:t>
            </w:r>
          </w:p>
        </w:tc>
        <w:tc>
          <w:tcPr>
            <w:tcW w:type="dxa" w:w="3322"/>
          </w:tcPr>
          <w:p>
            <w:pPr>
              <w:pStyle w:val="null3"/>
            </w:pPr>
            <w:r>
              <w:rPr>
                <w:rFonts w:ascii="仿宋_GB2312" w:hAnsi="仿宋_GB2312" w:cs="仿宋_GB2312" w:eastAsia="仿宋_GB2312"/>
              </w:rPr>
              <w:t>从提交投标文件的截止之日起不少于90日历日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 （实质性要求）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 （实质性要求）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（1）符合商务、技术要求，不存在重大负偏离（2）未附有采购人不能接受的条件（3）符合招标文件规定的其他实质性要求（4）未违反《中华人民共和国政府采购法》和其他相关法律、法规的规定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对商务要求完全响应招标文件要求的得2分。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所投产品技术参数指标</w:t>
            </w:r>
          </w:p>
        </w:tc>
        <w:tc>
          <w:tcPr>
            <w:tcW w:type="dxa" w:w="2492"/>
          </w:tcPr>
          <w:p>
            <w:pPr>
              <w:pStyle w:val="null3"/>
            </w:pPr>
            <w:r>
              <w:rPr>
                <w:rFonts w:ascii="仿宋_GB2312" w:hAnsi="仿宋_GB2312" w:cs="仿宋_GB2312" w:eastAsia="仿宋_GB2312"/>
              </w:rPr>
              <w:t>所投产品技术参数指标，本项满分27分。 标▲参数有一项不满足扣1.5分，非▲参数有一项不满足扣0.5分，扣完为止。 注：投标文件中需提供的作为评审依据的证明文件（包括但不限于第三方检测报告、加盖公章的产品彩页、加盖公章的官网截图等）。</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所投产品合法来源渠道</w:t>
            </w:r>
          </w:p>
        </w:tc>
        <w:tc>
          <w:tcPr>
            <w:tcW w:type="dxa" w:w="2492"/>
          </w:tcPr>
          <w:p>
            <w:pPr>
              <w:pStyle w:val="null3"/>
            </w:pPr>
            <w:r>
              <w:rPr>
                <w:rFonts w:ascii="仿宋_GB2312" w:hAnsi="仿宋_GB2312" w:cs="仿宋_GB2312" w:eastAsia="仿宋_GB2312"/>
              </w:rPr>
              <w:t>提供针对本项目的所投产品合法来源渠道（包括但不限于产品制造商授权书或销售协议或代理协议等），满分2分；未提供不得分。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1、评审内容 提供针对本项目的总体实施方案，内容包括： ①产品运输送货方案； ②产品验收实施方案； ③产品出现质量问题时的处理方案。 2、评审标准 ①完整性：方案须全面，对评审内容中的各项要求有详细描述及说明； ②可实施性：切合本项目实际情况，实施步骤清晰、合理； ③针对性：方案能够紧扣项目实际情况，内容科学合理。 3、赋分标准 ①产品运输送货方案：每完全满足一项评审标准得1分，满分3分； ②产品验收实施方案：每完全满足一项评审标准得1分，满分3分； ③产品出现质量问题时的处理方案：每完全满足一项评审标准得1分，满分3分。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1、评审内容 提供针对本项目的产品质量保障，内容包括： ①产品质量管控措施； ②备品备件质量保障方案。 2、评审标准 ①完整性：方案须全面，对评审内容中的各项要求有详细描述及说明； ②可实施性：切合本项目实际情况，实施步骤清晰、合理； ③针对性：方案能够紧扣项目实际情况，内容科学合理。 3、赋分标准 ①产品质量管控措施：每完全满足一项评审标准得1分，满分3分； ②备品备件质量保障方案：每完全满足一项评审标准得1分，满分3分。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提供2023年1月1日以来供应商类似项目的业绩合同（以合同签订日期为准），附业绩合同复印件加盖公章，每份2.5分，满分5分；未提供不得分。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1、评审内容 供应商提供针对本项目具体的服务承诺，内容包括： ①质保期内的售后服务保障；②售后服务人员安排及响应处理时间； ③质保期外的售后服务保障。 2、评审标准 ①完整性：承诺须全面，对评审内容中的各项要求有详细描述及说明； ②可实施性：切合本项目实际情况，步骤清晰、合理，操作性强； ③针对性：承诺能够紧扣项目实际情况，内容科学合理。 3、赋分标准 ①质保期内的售后服务保障：每完全满足一项评审标准得0.5分，满分1.5分； ②售后服务人员安排及响应处理时间：每完全满足一项评审标准得0.5分，满分1.5分； ③质保期外的售后服务保障：每完全满足一项评审标准得0.5分，满分1.5分。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供应商根据本项目涉及操作的实际需求提供培训方案，内容包括： ①车辆日常使用操作； ②保养与管理； ③常见故障的排除。 2、评审标准 ①完整性：方案须全面，对评审内容中的各项要求有详细描述及说明； ②可实施性：切合本项目实际情况，步骤清晰、合理，操作性强； ③针对性：方案能够紧扣项目实际情况，内容科学合理。 3、赋分标准 ①车辆日常使用操作：每完全满足一项评审标准得0.5分，满分1.5分； ②保养与管理：每完全满足一项评审标准得0.5分，满分1.5分； ③常见故障的排除：每完全满足一项评审标准得0.5分，满分1.5分。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价格分采用低价优先法计算，即满足招标文件要求且投标报价最低的投标报价为评标基准价，其价格分为满分。其他供应商的价格分统一按照下列公式计算： 投标报价得分=（评标基准价/有效报价）×价格权值（40%）×100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详见附件：投标保证金缴纳凭证及退还申请表</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详见附件：商务要求响应表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