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版本号：HZ-J2026034C20260710001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西乡县2026年农村公路安全生命防护工程交工检测服务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HZ-J2026034C</w:t>
      </w:r>
      <w:r>
        <w:br/>
      </w:r>
      <w:r>
        <w:br/>
      </w:r>
      <w:r>
        <w:br/>
      </w:r>
    </w:p>
    <w:p>
      <w:pPr>
        <w:pStyle w:val="null3"/>
        <w:jc w:val="center"/>
        <w:outlineLvl w:val="2"/>
      </w:pPr>
      <w:r>
        <w:rPr>
          <w:rFonts w:ascii="仿宋_GB2312" w:hAnsi="仿宋_GB2312" w:cs="仿宋_GB2312" w:eastAsia="仿宋_GB2312"/>
          <w:sz w:val="28"/>
          <w:b/>
        </w:rPr>
        <w:t>西乡县农村公路管理站</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西乡县农村公路管理站</w:t>
      </w:r>
      <w:r>
        <w:rPr>
          <w:rFonts w:ascii="仿宋_GB2312" w:hAnsi="仿宋_GB2312" w:cs="仿宋_GB2312" w:eastAsia="仿宋_GB2312"/>
        </w:rPr>
        <w:t>委托，拟对</w:t>
      </w:r>
      <w:r>
        <w:rPr>
          <w:rFonts w:ascii="仿宋_GB2312" w:hAnsi="仿宋_GB2312" w:cs="仿宋_GB2312" w:eastAsia="仿宋_GB2312"/>
        </w:rPr>
        <w:t>西乡县2026年农村公路安全生命防护工程交工检测服务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HZ-J2026034C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西乡县2026年农村公路安全生命防护工程交工检测服务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2026年农村公路生命安全防护工程项目涉及白龙塘镇、白勉峡镇、茶镇、大河镇、高川镇、两河口镇、桑园镇、沙河镇、峡口镇、堰口镇、子午镇共11个镇259条农村公路，设计路线总里程596.867公里，安全隐患处置里程435.436公里。主要工程量为:共设置波形护栏211304米、交通标志牌1643套、凸面镜302套、道口标柱1420根、挡墙135处M7.5浆砌片石6654.94m、警示桩416根、错车道1748处81710m2、停车让行线2003.65m2、水位标示牌1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采购包1（西乡县2026年农村公路安全生命防护工程交工检测服务第一合同段（白勉峡镇、茶镇、高川镇、两河口镇、堰口镇））：属于专门面向中小企业采购。</w:t>
      </w:r>
    </w:p>
    <w:p>
      <w:pPr>
        <w:pStyle w:val="null3"/>
      </w:pPr>
      <w:r>
        <w:rPr>
          <w:rFonts w:ascii="仿宋_GB2312" w:hAnsi="仿宋_GB2312" w:cs="仿宋_GB2312" w:eastAsia="仿宋_GB2312"/>
        </w:rPr>
        <w:t>采购包2（西乡县2026年农村公路安全生命防护工程交工检测服务第二合同段（白龙塘镇、大河镇、桑园镇、沙河镇、峡口镇、子午镇））：属于专门面向中小企业采购。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供应商应授权合法的人员参加磋商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w:t>
      </w:r>
    </w:p>
    <w:p>
      <w:pPr>
        <w:pStyle w:val="null3"/>
      </w:pPr>
      <w:r>
        <w:rPr>
          <w:rFonts w:ascii="仿宋_GB2312" w:hAnsi="仿宋_GB2312" w:cs="仿宋_GB2312" w:eastAsia="仿宋_GB2312"/>
        </w:rPr>
        <w:t>4、企业资质：供应商须具备公路工程试验检测综合乙级及以上资质或交通运输行业主管部门颁发的公路工程试验检测乙级及以上资质。</w:t>
      </w:r>
    </w:p>
    <w:p>
      <w:pPr>
        <w:pStyle w:val="null3"/>
      </w:pPr>
      <w:r>
        <w:rPr>
          <w:rFonts w:ascii="仿宋_GB2312" w:hAnsi="仿宋_GB2312" w:cs="仿宋_GB2312" w:eastAsia="仿宋_GB2312"/>
        </w:rPr>
        <w:t>5、项目负责人：拟派项目负责人具有交通运输部颁发的公路工程试验检测师资格证书。</w:t>
      </w:r>
    </w:p>
    <w:p>
      <w:pPr>
        <w:pStyle w:val="null3"/>
      </w:pPr>
      <w:r>
        <w:rPr>
          <w:rFonts w:ascii="仿宋_GB2312" w:hAnsi="仿宋_GB2312" w:cs="仿宋_GB2312" w:eastAsia="仿宋_GB2312"/>
        </w:rPr>
        <w:t>6、不接受联合体磋商：不接受联合体磋商，按照格式填写承诺书。（材料应清晰可辨并进行电子签章）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供应商应授权合法的人员参加磋商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w:t>
      </w:r>
    </w:p>
    <w:p>
      <w:pPr>
        <w:pStyle w:val="null3"/>
      </w:pPr>
      <w:r>
        <w:rPr>
          <w:rFonts w:ascii="仿宋_GB2312" w:hAnsi="仿宋_GB2312" w:cs="仿宋_GB2312" w:eastAsia="仿宋_GB2312"/>
        </w:rPr>
        <w:t>4、企业资质：供应商须具备公路工程试验检测综合乙级及以上资质或交通运输行业主管部门颁发的公路工程试验检测乙级及以上资质。</w:t>
      </w:r>
    </w:p>
    <w:p>
      <w:pPr>
        <w:pStyle w:val="null3"/>
      </w:pPr>
      <w:r>
        <w:rPr>
          <w:rFonts w:ascii="仿宋_GB2312" w:hAnsi="仿宋_GB2312" w:cs="仿宋_GB2312" w:eastAsia="仿宋_GB2312"/>
        </w:rPr>
        <w:t>5、项目负责人：拟派项目负责人具有交通运输部颁发的公路工程试验检测师资格证书。</w:t>
      </w:r>
    </w:p>
    <w:p>
      <w:pPr>
        <w:pStyle w:val="null3"/>
      </w:pPr>
      <w:r>
        <w:rPr>
          <w:rFonts w:ascii="仿宋_GB2312" w:hAnsi="仿宋_GB2312" w:cs="仿宋_GB2312" w:eastAsia="仿宋_GB2312"/>
        </w:rPr>
        <w:t>6、不接受联合体磋商：不接受联合体磋商，按照格式填写承诺书。（材料应清晰可辨并进行电子签章）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西乡县莲花路北段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13909169412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张培泽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采购包1：186,087.00元</w:t>
            </w:r>
          </w:p>
          <w:p>
            <w:pPr>
              <w:pStyle w:val="null3"/>
            </w:pPr>
            <w:r>
              <w:rPr>
                <w:rFonts w:ascii="仿宋_GB2312" w:hAnsi="仿宋_GB2312" w:cs="仿宋_GB2312" w:eastAsia="仿宋_GB2312"/>
              </w:rPr>
              <w:t>采购包2：180,102.00元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采购代理服务费依据合同约定支付，（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西乡县农村公路管理站</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本项目所有检测成果、报告、资料知识产权归采购单位所有，供应商不得擅自使用、传播、转借。</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全部服务内容完成、成果资料齐全合规、检测结论合格、完全响应采购文件及合同约定要求。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全部服务内容完成、成果资料齐全合规、检测结论合格、完全响应采购文件及合同约定要求。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联系人：张培泽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2026年农村公路生命安全防护工程项目涉及白龙塘镇、白勉峡镇、茶镇、大河镇、高川镇、两河口镇、桑园镇、沙河镇、峡口镇、堰口镇、子午镇共11个镇259条农村公路，设计路线总里程596.867公里，安全隐患处置里程435.436公里。主要工程量为:共设置波形护栏211304米、交通标志牌1643套、凸面镜302套、道口标柱1420根、挡墙135处M7.5浆砌片石6654.94m、警示桩416根、错车道1748处81710m2、停车让行线2003.65m2、水位标示牌1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186,087.00</w:t>
      </w:r>
    </w:p>
    <w:p>
      <w:pPr>
        <w:pStyle w:val="null3"/>
      </w:pPr>
      <w:r>
        <w:rPr>
          <w:rFonts w:ascii="仿宋_GB2312" w:hAnsi="仿宋_GB2312" w:cs="仿宋_GB2312" w:eastAsia="仿宋_GB2312"/>
        </w:rPr>
        <w:t>采购包最高限价（元）: 186,087.00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西乡县2026年农村公路安全生命防护工程交工检测服务第一合同段（白勉峡镇、茶镇、高川镇、两河口镇、堰口镇）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186,087.00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180,102.00</w:t>
      </w:r>
    </w:p>
    <w:p>
      <w:pPr>
        <w:pStyle w:val="null3"/>
      </w:pPr>
      <w:r>
        <w:rPr>
          <w:rFonts w:ascii="仿宋_GB2312" w:hAnsi="仿宋_GB2312" w:cs="仿宋_GB2312" w:eastAsia="仿宋_GB2312"/>
        </w:rPr>
        <w:t>采购包最高限价（元）: 180,102.00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西乡县2026年农村公路安全生命防护工程交工检测服务第二合同段（白龙塘镇、大河镇、桑园镇、沙河镇、峡口镇、子午镇）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180,102.00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标的名称：西乡县2026年农村公路安全生命防护工程交工检测服务第一合同段（白勉峡镇、茶镇、高川镇、两河口镇、堰口镇）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（一）标段概况：</w:t>
            </w:r>
          </w:p>
          <w:p>
            <w:pPr>
              <w:pStyle w:val="null3"/>
            </w:pPr>
            <w:r>
              <w:rPr>
                <w:rFonts w:ascii="仿宋_GB2312" w:hAnsi="仿宋_GB2312" w:cs="仿宋_GB2312" w:eastAsia="仿宋_GB2312"/>
                <w:sz w:val="21"/>
              </w:rPr>
              <w:t xml:space="preserve">    西乡县2026年农村公路安全生命防护工程交工检测服务第一合同段（白勉峡镇、茶镇、高川镇、两河口镇、堰口镇），共负责138条路线，共计218.379公里的交工检测工作。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（二）施工主要内容：</w:t>
            </w:r>
          </w:p>
          <w:p>
            <w:pPr>
              <w:pStyle w:val="null3"/>
            </w:pPr>
            <w:r>
              <w:rPr>
                <w:rFonts w:ascii="仿宋_GB2312" w:hAnsi="仿宋_GB2312" w:cs="仿宋_GB2312" w:eastAsia="仿宋_GB2312"/>
                <w:sz w:val="21"/>
              </w:rPr>
              <w:t xml:space="preserve">    工程主要对急弯、陡坡、视距不良、路侧险要等危险路段设置安全防护设施，包括波形梁护栏、交通标志、标线及视线诱导设施等。(具体以工程量清单及施工图纸为准)。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（三）服务内容</w:t>
            </w:r>
          </w:p>
          <w:p>
            <w:pPr>
              <w:pStyle w:val="null3"/>
            </w:pPr>
            <w:r>
              <w:rPr>
                <w:rFonts w:ascii="仿宋_GB2312" w:hAnsi="仿宋_GB2312" w:cs="仿宋_GB2312" w:eastAsia="仿宋_GB2312"/>
                <w:sz w:val="21"/>
              </w:rPr>
              <w:t xml:space="preserve">    对合同段内所有农村公路安防工程（波形护栏、交通标志牌、凸面镜、道口标柱、浆砌片石挡墙、警示桩、错车道、交通标线、水位标示牌等）开展全面交工检测，包含现场实体检测、外观质量核查、工程量复核、资料完整性核查、质量评定等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（四）服务依据</w:t>
            </w:r>
          </w:p>
          <w:p>
            <w:pPr>
              <w:pStyle w:val="null3"/>
            </w:pPr>
            <w:r>
              <w:rPr>
                <w:rFonts w:ascii="仿宋_GB2312" w:hAnsi="仿宋_GB2312" w:cs="仿宋_GB2312" w:eastAsia="仿宋_GB2312"/>
                <w:sz w:val="21"/>
              </w:rPr>
              <w:t xml:space="preserve">    严格遵循《公路工程质量检验评定标准》（JTG F80/1）、《农村公路养护管理办法》、国家及交通运输部现行相关规范、磋商文件、响应文件及澄清函要求开展检测工作。</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（五）成果要求</w:t>
            </w:r>
          </w:p>
          <w:p>
            <w:pPr>
              <w:pStyle w:val="null3"/>
            </w:pPr>
            <w:r>
              <w:rPr>
                <w:rFonts w:ascii="仿宋_GB2312" w:hAnsi="仿宋_GB2312" w:cs="仿宋_GB2312" w:eastAsia="仿宋_GB2312"/>
                <w:sz w:val="21"/>
              </w:rPr>
              <w:t xml:space="preserve">    按期完成全部检测工作，出具真实、合法、有效的《交工检测报告》，检测数据完整、结论准确，符合公路工程交工验收标准，全力配合采购人完成项目阶段性验收、交工竣工验收及全套资料归档工作。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标的名称：西乡县2026年农村公路安全生命防护工程交工检测服务第二合同段（白龙塘镇、大河镇、桑园镇、沙河镇、峡口镇、子午镇）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（一）标段概况：</w:t>
            </w:r>
          </w:p>
          <w:p>
            <w:pPr>
              <w:pStyle w:val="null3"/>
            </w:pPr>
            <w:r>
              <w:rPr>
                <w:rFonts w:ascii="仿宋_GB2312" w:hAnsi="仿宋_GB2312" w:cs="仿宋_GB2312" w:eastAsia="仿宋_GB2312"/>
              </w:rPr>
              <w:t xml:space="preserve">    西乡县2026年农村公路安全生命防护工程交工检测服务第二合同段（白龙塘镇、大河镇、桑园镇、沙河镇、峡口镇、子午镇），共负责121条路线，共计217.057公里的交工检测工作。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（二）施工主要内容：</w:t>
            </w:r>
          </w:p>
          <w:p>
            <w:pPr>
              <w:pStyle w:val="null3"/>
            </w:pPr>
            <w:r>
              <w:rPr>
                <w:rFonts w:ascii="仿宋_GB2312" w:hAnsi="仿宋_GB2312" w:cs="仿宋_GB2312" w:eastAsia="仿宋_GB2312"/>
              </w:rPr>
              <w:t xml:space="preserve">    工程主要对急弯、陡坡、视距不良、路侧险要等危险路段设置安全防护设施，包括波形梁护栏、交通标志、标线及视线诱导设施等。(具体以工程量清单及施工图纸为准)。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（三）服务内容</w:t>
            </w:r>
          </w:p>
          <w:p>
            <w:pPr>
              <w:pStyle w:val="null3"/>
            </w:pPr>
            <w:r>
              <w:rPr>
                <w:rFonts w:ascii="仿宋_GB2312" w:hAnsi="仿宋_GB2312" w:cs="仿宋_GB2312" w:eastAsia="仿宋_GB2312"/>
              </w:rPr>
              <w:t xml:space="preserve">    对合同段内所有农村公路安防工程（波形护栏、交通标志牌、凸面镜、道口标柱、浆砌片石挡墙、警示桩、错车道、交通标线、水位标示牌等）开展全面交工检测，包含现场实体检测、外观质量核查、工程量复核、资料完整性核查、质量评定等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（四）服务依据</w:t>
            </w:r>
          </w:p>
          <w:p>
            <w:pPr>
              <w:pStyle w:val="null3"/>
            </w:pPr>
            <w:r>
              <w:rPr>
                <w:rFonts w:ascii="仿宋_GB2312" w:hAnsi="仿宋_GB2312" w:cs="仿宋_GB2312" w:eastAsia="仿宋_GB2312"/>
              </w:rPr>
              <w:t xml:space="preserve">    严格遵循《公路工程质量检验评定标准》（JTG F80/1）、《农村公路养护管理办法》、国家及交通运输部现行相关规范、磋商文件、响应文件及澄清函要求开展检测工作。</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（五）成果要求</w:t>
            </w:r>
          </w:p>
          <w:p>
            <w:pPr>
              <w:pStyle w:val="null3"/>
            </w:pPr>
            <w:r>
              <w:rPr>
                <w:rFonts w:ascii="仿宋_GB2312" w:hAnsi="仿宋_GB2312" w:cs="仿宋_GB2312" w:eastAsia="仿宋_GB2312"/>
              </w:rPr>
              <w:t xml:space="preserve">    按期完成全部检测工作，出具真实、合法、有效的《交工检测报告》，检测数据完整、结论准确，符合公路工程交工验收标准，全力配合采购人完成项目阶段性验收、交工竣工验收及全套资料归档工作。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自合同签订之日起，至本合同段项目全部完成交工检测、竣（交）工验收合格、全套检测资料归档完毕为止。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自合同签订之日起，至本合同段项目全部完成交工检测、竣（交）工验收合格、全套检测资料归档完毕为止。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符合国家、交通运输行业现行公路工程检测及交工验收规范，满足磋商文件、响应文件约定全部要求，检测报告合规、数据真实、结论合格。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符合国家、交通运输行业现行公路工程检测及交工验收规范，满足磋商文件、响应文件约定全部要求，检测报告合规、数据真实、结论合格。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进度款，本合同段项目完成全部检测工作、通过竣（交）工验收且资料归档完毕，达到付款条件起30个工作日内，支付合同总金额的100.0%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进度款，本合同段项目完成全部检测工作、通过竣（交）工验收且资料归档完毕，达到付款条件起30个工作日内，支付合同总金额的100.0%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一、违约责任：合同签订时约定。二、解决争议的方法：合同在履行过程中发生的争议，当事人双方应协商解决，协商达不成一致时，可向采购方所在地人民法院提请诉讼。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一、违约责任：合同签订时约定。二、解决争议的方法：合同在履行过程中发生的争议，当事人双方应协商解决，协商达不成一致时，可向采购方所在地人民法院提请诉讼。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2.成交供应商在采购结果发布后3个工作日内向代理机构提交纸质版响应文件以便于存档，响应文件正本1份，副本2份（可以使用签章文件直接打印），电子版文件2份（以U盘为载体，电子化交易平台上传签章版PDF格式），纸质响应文件均须A4纸打印，分别各自装订成册。线下递交响应文件地点：汉中市南郑区南郑大道南300米（南郑工业园区管委会二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供应商须具备公路工程试验检测综合乙级及以上资质或交通运输行业主管部门颁发的公路工程试验检测乙级及以上资质。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拟派项目负责人具有交通运输部颁发的公路工程试验检测师资格证书。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供应商须具备公路工程试验检测综合乙级及以上资质或交通运输行业主管部门颁发的公路工程试验检测乙级及以上资质。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拟派项目负责人具有交通运输部颁发的公路工程试验检测师资格证书。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商务要求应答表.docx 报价表 （项目负责人）业绩一览表.docx （企业业绩）业绩一览表.docx 项目团队人员配备表.docx 响应文件封面 供应商应提交的相关资格证明材料.docx 仪器设备一览表.docx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商务要求应答表.docx 报价表 （项目负责人）业绩一览表.docx （企业业绩）业绩一览表.docx 项目团队人员配备表.docx 响应文件封面 供应商应提交的相关资格证明材料.docx 仪器设备一览表.docx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供应商应提交的相关资格证明材料.docx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商务要求应答表.docx 报价表 （项目负责人）业绩一览表.docx （企业业绩）业绩一览表.docx 项目团队人员配备表.docx 响应文件封面 供应商应提交的相关资格证明材料.docx 仪器设备一览表.docx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商务要求应答表.docx 报价表 （项目负责人）业绩一览表.docx （企业业绩）业绩一览表.docx 项目团队人员配备表.docx 响应文件封面 供应商应提交的相关资格证明材料.docx 仪器设备一览表.docx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供应商应提交的相关资格证明材料.docx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项目总体方案</w:t>
            </w:r>
          </w:p>
        </w:tc>
        <w:tc>
          <w:tcPr>
            <w:tcW w:type="dxa" w:w="2492"/>
          </w:tcPr>
          <w:p>
            <w:pPr>
              <w:pStyle w:val="null3"/>
            </w:pPr>
            <w:r>
              <w:rPr>
                <w:rFonts w:ascii="仿宋_GB2312" w:hAnsi="仿宋_GB2312" w:cs="仿宋_GB2312" w:eastAsia="仿宋_GB2312"/>
              </w:rPr>
              <w:t>一、评审内容：供应商须结合本项目特点编制项目总体方案，包含：①项目实施方案；②项目进度安排；③检测目标方案；④各检测项目的技术方案；⑤检测工作重点难点分析及解决方案；⑥报告成果及提交方案。二、赋分标准： 1.完整性：对上述每小项内容均有描述，得6分；每缺1项扣1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现场安全管理措施</w:t>
            </w:r>
          </w:p>
        </w:tc>
        <w:tc>
          <w:tcPr>
            <w:tcW w:type="dxa" w:w="2492"/>
          </w:tcPr>
          <w:p>
            <w:pPr>
              <w:pStyle w:val="null3"/>
            </w:pPr>
            <w:r>
              <w:rPr>
                <w:rFonts w:ascii="仿宋_GB2312" w:hAnsi="仿宋_GB2312" w:cs="仿宋_GB2312" w:eastAsia="仿宋_GB2312"/>
              </w:rPr>
              <w:t>一、评审内容：供应商须结合本项目特点编项目现场安全管理措施，包含：①人员安全管理措施；②设备安全管理措施；③交通安全管理措施；④现场安全管理措施。二、赋分标准： 1.完整性：对上述每小项内容均有描述，得2分；每缺1项扣0.5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突发事件应急预案和措施</w:t>
            </w:r>
          </w:p>
        </w:tc>
        <w:tc>
          <w:tcPr>
            <w:tcW w:type="dxa" w:w="2492"/>
          </w:tcPr>
          <w:p>
            <w:pPr>
              <w:pStyle w:val="null3"/>
            </w:pPr>
            <w:r>
              <w:rPr>
                <w:rFonts w:ascii="仿宋_GB2312" w:hAnsi="仿宋_GB2312" w:cs="仿宋_GB2312" w:eastAsia="仿宋_GB2312"/>
              </w:rPr>
              <w:t>一、评审内容：供应商须结合本项目特点编制突发事件应急预案和措施，包含：①在项目实施过程中出现突发问题的应急处置方案；②应急响应时间及出现突发状况应急人员安排。二、赋分标准： 1.完整性：对上述每小项内容均有描述，得2分；每缺1项扣1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质量保障措施及安全保障措施</w:t>
            </w:r>
          </w:p>
        </w:tc>
        <w:tc>
          <w:tcPr>
            <w:tcW w:type="dxa" w:w="2492"/>
          </w:tcPr>
          <w:p>
            <w:pPr>
              <w:pStyle w:val="null3"/>
            </w:pPr>
            <w:r>
              <w:rPr>
                <w:rFonts w:ascii="仿宋_GB2312" w:hAnsi="仿宋_GB2312" w:cs="仿宋_GB2312" w:eastAsia="仿宋_GB2312"/>
              </w:rPr>
              <w:t>一、评审内容：供应商须结合本项目特点编制质量保障措施及安全保障措施，包含：①质量保障措施；②安全保障措施。二、赋分标准： 1.完整性：对上述每小项内容均有描述，得2分；每缺1项扣1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检测工作制度</w:t>
            </w:r>
          </w:p>
        </w:tc>
        <w:tc>
          <w:tcPr>
            <w:tcW w:type="dxa" w:w="2492"/>
          </w:tcPr>
          <w:p>
            <w:pPr>
              <w:pStyle w:val="null3"/>
            </w:pPr>
            <w:r>
              <w:rPr>
                <w:rFonts w:ascii="仿宋_GB2312" w:hAnsi="仿宋_GB2312" w:cs="仿宋_GB2312" w:eastAsia="仿宋_GB2312"/>
              </w:rPr>
              <w:t>一、评审内容：针对本项目服务内容制定检测工作制度，包括①项目检测岗位责任制度；②进场设备核查检验制度；③系统功能专项检测制度；④检测数据真实核验制度；⑤检测问题台账管理制度；⑥不合格项整改闭环制度；⑦检测资料整编归档制度；⑧检测质量监督管控制度；⑨检测责任追溯追责制度；⑩验收备案配合保障制度；⑪检测设备器具校准管理制度；⑫检测保密及数据安全制度。 二、赋分标准： 以上各项内容均有描述，得6分；每缺1项扣0.5分，扣完为止。此项不提供不得分。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综合服务承诺</w:t>
            </w:r>
          </w:p>
        </w:tc>
        <w:tc>
          <w:tcPr>
            <w:tcW w:type="dxa" w:w="2492"/>
          </w:tcPr>
          <w:p>
            <w:pPr>
              <w:pStyle w:val="null3"/>
            </w:pPr>
            <w:r>
              <w:rPr>
                <w:rFonts w:ascii="仿宋_GB2312" w:hAnsi="仿宋_GB2312" w:cs="仿宋_GB2312" w:eastAsia="仿宋_GB2312"/>
              </w:rPr>
              <w:t>一、评审内容：针对本项目工作的综合服务承诺，包括不限于：①前期准备及组织实施时的服务承诺；②合规检测服务承诺及专人全程对接配合检测承诺；③项目实施过程中对人员的安全承诺；④检测资料真实完整、规范归档承诺；⑤检测合格保障承诺；⑥质量终身责任承诺；⑦不弄虚作假、不虚检漏检承诺；⑧验收备案全程协助承诺；⑨检测仪器设备定期检定、全程自备到场承诺；⑩提交成果后及参与项目验收工作的服务承诺。⑪检测数据保密、成果资料不私自外传信用承诺。二、赋分标准： 以上各项内容均有描述，得11分；每缺1项扣1分，扣完为止。此项不提供不得分。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1.具备工程类中级及以上职称得5分，未提供得0分。 注：响应文件内附技术职称。 2.提供2023年7月1日至今类似项目业绩，每提供1份有效业绩得2.5分，满分5分，未提供得0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p>
            <w:pPr>
              <w:pStyle w:val="null3"/>
            </w:pPr>
            <w:r>
              <w:rPr>
                <w:rFonts w:ascii="仿宋_GB2312" w:hAnsi="仿宋_GB2312" w:cs="仿宋_GB2312" w:eastAsia="仿宋_GB2312"/>
              </w:rPr>
              <w:t>（项目负责人）业绩一览表.docx</w:t>
            </w:r>
          </w:p>
        </w:tc>
      </w:tr>
      <w:tr>
        <w:tc>
          <w:tcPr>
            <w:tcW w:type="dxa" w:w="831"/>
            <w:vMerge/>
          </w:tcPr>
          <w:p/>
        </w:tc>
        <w:tc>
          <w:tcPr>
            <w:tcW w:type="dxa" w:w="1661"/>
          </w:tcPr>
          <w:p>
            <w:pPr>
              <w:pStyle w:val="null3"/>
            </w:pPr>
            <w:r>
              <w:rPr>
                <w:rFonts w:ascii="仿宋_GB2312" w:hAnsi="仿宋_GB2312" w:cs="仿宋_GB2312" w:eastAsia="仿宋_GB2312"/>
              </w:rPr>
              <w:t>拟投入团队人员</w:t>
            </w:r>
          </w:p>
        </w:tc>
        <w:tc>
          <w:tcPr>
            <w:tcW w:type="dxa" w:w="2492"/>
          </w:tcPr>
          <w:p>
            <w:pPr>
              <w:pStyle w:val="null3"/>
            </w:pPr>
            <w:r>
              <w:rPr>
                <w:rFonts w:ascii="仿宋_GB2312" w:hAnsi="仿宋_GB2312" w:cs="仿宋_GB2312" w:eastAsia="仿宋_GB2312"/>
              </w:rPr>
              <w:t>拟投入团队人员中，除项目负责人外，配备的团队人员具有工程类中级及以上技术职称得2分，最高得8分，未提供得0分。 注：以上人员须提供相关证明材料，技术职称证书及社保缴纳证明，未提供不得分。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检测仪器设备</w:t>
            </w:r>
          </w:p>
        </w:tc>
        <w:tc>
          <w:tcPr>
            <w:tcW w:type="dxa" w:w="2492"/>
          </w:tcPr>
          <w:p>
            <w:pPr>
              <w:pStyle w:val="null3"/>
            </w:pPr>
            <w:r>
              <w:rPr>
                <w:rFonts w:ascii="仿宋_GB2312" w:hAnsi="仿宋_GB2312" w:cs="仿宋_GB2312" w:eastAsia="仿宋_GB2312"/>
              </w:rPr>
              <w:t>供应商拟投入的检测仪器设备，每提供1台（套）得1分，最高得10分；未提供得0分； 注：以磋商响应文件中所附检测设备的主要检测仪器设备原始发票或生效条件的租赁合同复印件或仪器设备检定证书或校准证书为准。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仪器设备一览表.docx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提供2023年7月1日以来完成的类似项目业绩：每有一个类似项目业绩得2.5分,最高5分。无此项内容不得分。 （注：业绩证明材料以中标（成交）通知书或合同协议书为准，磋商响应文件中附中标（成交）通知书或合同协议书复印件并加盖企业公章。）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满足磋商文件要求且最终投标价格最低的磋商报价为评标基准价，其价格分为满分。 其他投标人的价格分统一按照下列公式计算： 磋商报价得分=(磋商基准价／最终磋商报价)×10。计算分数时四舍五入取小数点后两位。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项目总体方案</w:t>
            </w:r>
          </w:p>
        </w:tc>
        <w:tc>
          <w:tcPr>
            <w:tcW w:type="dxa" w:w="2492"/>
          </w:tcPr>
          <w:p>
            <w:pPr>
              <w:pStyle w:val="null3"/>
            </w:pPr>
            <w:r>
              <w:rPr>
                <w:rFonts w:ascii="仿宋_GB2312" w:hAnsi="仿宋_GB2312" w:cs="仿宋_GB2312" w:eastAsia="仿宋_GB2312"/>
              </w:rPr>
              <w:t>一、评审内容：供应商须结合本项目特点编制项目总体方案，包含：①项目实施方案；②项目进度安排；③检测目标方案；④各检测项目的技术方案；⑤检测工作重点难点分析及解决方案；⑥报告成果及提交方案。二、赋分标准： 1.完整性：对上述每小项内容均有描述，得6分；每缺1项扣1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现场安全管理措施</w:t>
            </w:r>
          </w:p>
        </w:tc>
        <w:tc>
          <w:tcPr>
            <w:tcW w:type="dxa" w:w="2492"/>
          </w:tcPr>
          <w:p>
            <w:pPr>
              <w:pStyle w:val="null3"/>
            </w:pPr>
            <w:r>
              <w:rPr>
                <w:rFonts w:ascii="仿宋_GB2312" w:hAnsi="仿宋_GB2312" w:cs="仿宋_GB2312" w:eastAsia="仿宋_GB2312"/>
              </w:rPr>
              <w:t>一、评审内容：供应商须结合本项目特点编项目现场安全管理措施，包含：①人员安全管理措施；②设备安全管理措施；③交通安全管理措施；④现场安全管理措施。二、赋分标准： 1.完整性：对上述每小项内容均有描述，得2分；每缺1项扣0.5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质量保障措施及安全保障措施</w:t>
            </w:r>
          </w:p>
        </w:tc>
        <w:tc>
          <w:tcPr>
            <w:tcW w:type="dxa" w:w="2492"/>
          </w:tcPr>
          <w:p>
            <w:pPr>
              <w:pStyle w:val="null3"/>
            </w:pPr>
            <w:r>
              <w:rPr>
                <w:rFonts w:ascii="仿宋_GB2312" w:hAnsi="仿宋_GB2312" w:cs="仿宋_GB2312" w:eastAsia="仿宋_GB2312"/>
              </w:rPr>
              <w:t>一、评审内容：供应商须结合本项目特点编制质量保障措施及安全保障措施，包含：①质量保障措施；②安全保障措施。二、赋分标准： 1.完整性：对上述每小项内容均有描述，得2分；每缺1项扣1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突发事件应急预案和措施</w:t>
            </w:r>
          </w:p>
        </w:tc>
        <w:tc>
          <w:tcPr>
            <w:tcW w:type="dxa" w:w="2492"/>
          </w:tcPr>
          <w:p>
            <w:pPr>
              <w:pStyle w:val="null3"/>
            </w:pPr>
            <w:r>
              <w:rPr>
                <w:rFonts w:ascii="仿宋_GB2312" w:hAnsi="仿宋_GB2312" w:cs="仿宋_GB2312" w:eastAsia="仿宋_GB2312"/>
              </w:rPr>
              <w:t>一、评审内容：供应商须结合本项目特点编制突发事件应急预案和措施，包含：①在项目实施过程中出现突发问题的应急处置方案；②应急响应时间及出现突发状况应急人员安排。二、赋分标准： 1.完整性：对上述每小项内容均有描述，得2分；每缺1项扣1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检测工作制度</w:t>
            </w:r>
          </w:p>
        </w:tc>
        <w:tc>
          <w:tcPr>
            <w:tcW w:type="dxa" w:w="2492"/>
          </w:tcPr>
          <w:p>
            <w:pPr>
              <w:pStyle w:val="null3"/>
            </w:pPr>
            <w:r>
              <w:rPr>
                <w:rFonts w:ascii="仿宋_GB2312" w:hAnsi="仿宋_GB2312" w:cs="仿宋_GB2312" w:eastAsia="仿宋_GB2312"/>
              </w:rPr>
              <w:t>一、评审内容：针对本项目服务内容制定检测工作制度，包括①项目检测岗位责任制度；②进场设备核查检验制度；③系统功能专项检测制度；④检测数据真实核验制度；⑤检测问题台账管理制度；⑥不合格项整改闭环制度；⑦检测资料整编归档制度；⑧检测质量监督管控制度；⑨检测责任追溯追责制度；⑩验收备案配合保障制度；⑪检测设备器具校准管理制度；⑫检测保密及数据安全制度。 二、赋分标准： 以上各项内容均有描述，得6分；每缺1项扣0.5分，扣完为止。此项不提供不得分。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综合服务承诺</w:t>
            </w:r>
          </w:p>
        </w:tc>
        <w:tc>
          <w:tcPr>
            <w:tcW w:type="dxa" w:w="2492"/>
          </w:tcPr>
          <w:p>
            <w:pPr>
              <w:pStyle w:val="null3"/>
            </w:pPr>
            <w:r>
              <w:rPr>
                <w:rFonts w:ascii="仿宋_GB2312" w:hAnsi="仿宋_GB2312" w:cs="仿宋_GB2312" w:eastAsia="仿宋_GB2312"/>
              </w:rPr>
              <w:t>一、评审内容：针对本项目工作的综合服务承诺，包括不限于：①前期准备及组织实施时的服务承诺；②合规检测服务承诺及专人全程对接配合检测承诺；③项目实施过程中对人员的安全承诺；④检测资料真实完整、规范归档承诺；⑤检测合格保障承诺；⑥质量终身责任承诺；⑦不弄虚作假、不虚检漏检承诺；⑧验收备案全程协助承诺；⑨检测仪器设备定期检定、全程自备到场承诺；⑩提交成果后及参与项目验收工作的服务承诺。⑪检测数据保密、成果资料不私自外传信用承诺。二、赋分标准： 以上各项内容均有描述，得11分；每缺1项扣1分，扣完为止。此项不提供不得分。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1.具备工程类中级及以上职称得5分，未提供得0分。 注：响应文件内附技术职称。 2.提供2023年7月1日至今类似项目业绩，每提供1份有效业绩得2.5分，满分5分，未提供得0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p>
            <w:pPr>
              <w:pStyle w:val="null3"/>
            </w:pPr>
            <w:r>
              <w:rPr>
                <w:rFonts w:ascii="仿宋_GB2312" w:hAnsi="仿宋_GB2312" w:cs="仿宋_GB2312" w:eastAsia="仿宋_GB2312"/>
              </w:rPr>
              <w:t>（项目负责人）业绩一览表.docx</w:t>
            </w:r>
          </w:p>
        </w:tc>
      </w:tr>
      <w:tr>
        <w:tc>
          <w:tcPr>
            <w:tcW w:type="dxa" w:w="831"/>
            <w:vMerge/>
          </w:tcPr>
          <w:p/>
        </w:tc>
        <w:tc>
          <w:tcPr>
            <w:tcW w:type="dxa" w:w="1661"/>
          </w:tcPr>
          <w:p>
            <w:pPr>
              <w:pStyle w:val="null3"/>
            </w:pPr>
            <w:r>
              <w:rPr>
                <w:rFonts w:ascii="仿宋_GB2312" w:hAnsi="仿宋_GB2312" w:cs="仿宋_GB2312" w:eastAsia="仿宋_GB2312"/>
              </w:rPr>
              <w:t>拟投入团队人员</w:t>
            </w:r>
          </w:p>
        </w:tc>
        <w:tc>
          <w:tcPr>
            <w:tcW w:type="dxa" w:w="2492"/>
          </w:tcPr>
          <w:p>
            <w:pPr>
              <w:pStyle w:val="null3"/>
            </w:pPr>
            <w:r>
              <w:rPr>
                <w:rFonts w:ascii="仿宋_GB2312" w:hAnsi="仿宋_GB2312" w:cs="仿宋_GB2312" w:eastAsia="仿宋_GB2312"/>
              </w:rPr>
              <w:t>拟投入团队人员中，除项目负责人外，配备的团队人员具有工程类中级及以上技术职称得2分，最高得8分，未提供得0分。 注：以上人员须提供相关证明材料，技术职称证书及社保缴纳证明，未提供不得分。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检测仪器设备</w:t>
            </w:r>
          </w:p>
        </w:tc>
        <w:tc>
          <w:tcPr>
            <w:tcW w:type="dxa" w:w="2492"/>
          </w:tcPr>
          <w:p>
            <w:pPr>
              <w:pStyle w:val="null3"/>
            </w:pPr>
            <w:r>
              <w:rPr>
                <w:rFonts w:ascii="仿宋_GB2312" w:hAnsi="仿宋_GB2312" w:cs="仿宋_GB2312" w:eastAsia="仿宋_GB2312"/>
              </w:rPr>
              <w:t>供应商拟投入的检测仪器设备，每提供1台（套）得1分，最高得10分；未提供得0分； 注：以磋商响应文件中所附检测设备的主要检测仪器设备原始发票或生效条件的租赁合同复印件或仪器设备检定证书或校准证书为准。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仪器设备一览表.docx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提供2023年7月1日以来完成的类似项目业绩：每有一个类似项目业绩得2.5分,最高5分。无此项内容不得分。 （注：业绩证明材料以中标（成交）通知书或合同协议书为准，磋商响应文件中附中标（成交）通知书或合同协议书复印件并加盖企业公章。）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详见附件：仪器设备一览表.docx</w:t>
      </w:r>
    </w:p>
    <w:p>
      <w:pPr>
        <w:pStyle w:val="null3"/>
        <w:ind w:firstLine="960"/>
      </w:pPr>
      <w:r>
        <w:rPr>
          <w:rFonts w:ascii="仿宋_GB2312" w:hAnsi="仿宋_GB2312" w:cs="仿宋_GB2312" w:eastAsia="仿宋_GB2312"/>
        </w:rPr>
        <w:t>详见附件：（企业业绩）业绩一览表.docx</w:t>
      </w:r>
    </w:p>
    <w:p>
      <w:pPr>
        <w:pStyle w:val="null3"/>
        <w:ind w:firstLine="960"/>
      </w:pPr>
      <w:r>
        <w:rPr>
          <w:rFonts w:ascii="仿宋_GB2312" w:hAnsi="仿宋_GB2312" w:cs="仿宋_GB2312" w:eastAsia="仿宋_GB2312"/>
        </w:rPr>
        <w:t>详见附件：（项目负责人）业绩一览表.docx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详见附件：仪器设备一览表.docx</w:t>
      </w:r>
    </w:p>
    <w:p>
      <w:pPr>
        <w:pStyle w:val="null3"/>
        <w:ind w:firstLine="960"/>
      </w:pPr>
      <w:r>
        <w:rPr>
          <w:rFonts w:ascii="仿宋_GB2312" w:hAnsi="仿宋_GB2312" w:cs="仿宋_GB2312" w:eastAsia="仿宋_GB2312"/>
        </w:rPr>
        <w:t>详见附件：（企业业绩）业绩一览表.docx</w:t>
      </w:r>
    </w:p>
    <w:p>
      <w:pPr>
        <w:pStyle w:val="null3"/>
        <w:ind w:firstLine="960"/>
      </w:pPr>
      <w:r>
        <w:rPr>
          <w:rFonts w:ascii="仿宋_GB2312" w:hAnsi="仿宋_GB2312" w:cs="仿宋_GB2312" w:eastAsia="仿宋_GB2312"/>
        </w:rPr>
        <w:t>详见附件：（项目负责人）业绩一览表.docx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