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版本号：FDDL-202611120260812001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市级应急指挥部试点建设项目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FDDL-2026111</w:t>
      </w:r>
      <w:r>
        <w:br/>
      </w:r>
      <w:r>
        <w:br/>
      </w:r>
      <w:r>
        <w:br/>
      </w:r>
    </w:p>
    <w:p>
      <w:pPr>
        <w:pStyle w:val="null3"/>
        <w:jc w:val="center"/>
        <w:outlineLvl w:val="2"/>
      </w:pPr>
      <w:r>
        <w:rPr>
          <w:rFonts w:ascii="仿宋_GB2312" w:hAnsi="仿宋_GB2312" w:cs="仿宋_GB2312" w:eastAsia="仿宋_GB2312"/>
          <w:sz w:val="28"/>
          <w:b/>
        </w:rPr>
        <w:t>铜川市应急管理局</w:t>
      </w:r>
    </w:p>
    <w:p>
      <w:pPr>
        <w:pStyle w:val="null3"/>
        <w:jc w:val="center"/>
        <w:outlineLvl w:val="2"/>
      </w:pPr>
      <w:r>
        <w:rPr>
          <w:rFonts w:ascii="仿宋_GB2312" w:hAnsi="仿宋_GB2312" w:cs="仿宋_GB2312" w:eastAsia="仿宋_GB2312"/>
          <w:sz w:val="28"/>
          <w:b/>
        </w:rPr>
        <w:t>陕西方得项目管理有限公司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陕西方得项目管理有限公司</w:t>
      </w:r>
      <w:r>
        <w:rPr>
          <w:rFonts w:ascii="仿宋_GB2312" w:hAnsi="仿宋_GB2312" w:cs="仿宋_GB2312" w:eastAsia="仿宋_GB2312"/>
        </w:rPr>
        <w:t>（以下简称“代理机构”）受</w:t>
      </w:r>
      <w:r>
        <w:rPr>
          <w:rFonts w:ascii="仿宋_GB2312" w:hAnsi="仿宋_GB2312" w:cs="仿宋_GB2312" w:eastAsia="仿宋_GB2312"/>
        </w:rPr>
        <w:t>铜川市应急管理局</w:t>
      </w:r>
      <w:r>
        <w:rPr>
          <w:rFonts w:ascii="仿宋_GB2312" w:hAnsi="仿宋_GB2312" w:cs="仿宋_GB2312" w:eastAsia="仿宋_GB2312"/>
        </w:rPr>
        <w:t>委托，拟对</w:t>
      </w:r>
      <w:r>
        <w:rPr>
          <w:rFonts w:ascii="仿宋_GB2312" w:hAnsi="仿宋_GB2312" w:cs="仿宋_GB2312" w:eastAsia="仿宋_GB2312"/>
        </w:rPr>
        <w:t>市级应急指挥部试点建设项目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FDDL-2026111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市级应急指挥部试点建设项目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市级应急指挥部试点建设项目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合法注册的法人或其他组织供应商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主要负责人）授权委托书及被授权人身份证明：法定代表人（主要负责人）委托代理人参加投标时，应提供法定代表人（主要负责人）委托授权书；法定代表人（主要负责人）亲自参加投标时，应提供法定代表人（主要负责人）身份证明；</w:t>
      </w:r>
    </w:p>
    <w:p>
      <w:pPr>
        <w:pStyle w:val="null3"/>
      </w:pPr>
      <w:r>
        <w:rPr>
          <w:rFonts w:ascii="仿宋_GB2312" w:hAnsi="仿宋_GB2312" w:cs="仿宋_GB2312" w:eastAsia="仿宋_GB2312"/>
        </w:rPr>
        <w:t>3、设备和专业技术能力的说明及承诺：具备履行合同所必须的设备和专业技术能力的说明及承诺；</w:t>
      </w:r>
    </w:p>
    <w:p>
      <w:pPr>
        <w:pStyle w:val="null3"/>
      </w:pPr>
      <w:r>
        <w:rPr>
          <w:rFonts w:ascii="仿宋_GB2312" w:hAnsi="仿宋_GB2312" w:cs="仿宋_GB2312" w:eastAsia="仿宋_GB2312"/>
        </w:rPr>
        <w:t>4、重大违法记录的声明：供应商在近三年经营活动中没有重大违法记录的声明；</w:t>
      </w:r>
    </w:p>
    <w:p>
      <w:pPr>
        <w:pStyle w:val="null3"/>
      </w:pPr>
      <w:r>
        <w:rPr>
          <w:rFonts w:ascii="仿宋_GB2312" w:hAnsi="仿宋_GB2312" w:cs="仿宋_GB2312" w:eastAsia="仿宋_GB2312"/>
        </w:rPr>
        <w:t>5、财务状况报告（二选一）：财务状况报告（二选一）：①供应商提供2025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p>
      <w:pPr>
        <w:pStyle w:val="null3"/>
      </w:pPr>
      <w:r>
        <w:rPr>
          <w:rFonts w:ascii="仿宋_GB2312" w:hAnsi="仿宋_GB2312" w:cs="仿宋_GB2312" w:eastAsia="仿宋_GB2312"/>
        </w:rPr>
        <w:t>6、税收缴纳证明：税收缴纳证明：供应商提供已缴纳的2026年1月至今至少一个月的纳税证明或完税证明（任意税种）；依法免税的单位应提供相关文件证明；供应商为零申报企业提供证明材料；</w:t>
      </w:r>
    </w:p>
    <w:p>
      <w:pPr>
        <w:pStyle w:val="null3"/>
      </w:pPr>
      <w:r>
        <w:rPr>
          <w:rFonts w:ascii="仿宋_GB2312" w:hAnsi="仿宋_GB2312" w:cs="仿宋_GB2312" w:eastAsia="仿宋_GB2312"/>
        </w:rPr>
        <w:t>7、社会保障资金缴纳证明：社会保障资金缴纳证明：供应商提供已缴存的2026年1月至今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p>
      <w:pPr>
        <w:pStyle w:val="null3"/>
      </w:pPr>
      <w:r>
        <w:rPr>
          <w:rFonts w:ascii="仿宋_GB2312" w:hAnsi="仿宋_GB2312" w:cs="仿宋_GB2312" w:eastAsia="仿宋_GB2312"/>
        </w:rPr>
        <w:t>9、非联合体承诺书：本项目不接受联合体投标（提供非联合体承诺书）；</w:t>
      </w:r>
    </w:p>
    <w:p>
      <w:pPr>
        <w:pStyle w:val="null3"/>
      </w:pPr>
      <w:r>
        <w:rPr>
          <w:rFonts w:ascii="仿宋_GB2312" w:hAnsi="仿宋_GB2312" w:cs="仿宋_GB2312" w:eastAsia="仿宋_GB2312"/>
        </w:rPr>
        <w:t>10、供应商企业关联关系说明：单位负责人为同一人或者存在控股、管理关系的不同单位不得同时投标（提供供应商企业关系关联承诺书）；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陕西省铜川市新区鸿基路2号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15129572925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陕西方得项目管理有限公司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陕西省西安市碑林区雁塔路北段1号6层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029-89298871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采购包1：1,848,000.00元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照国家计委颁发的《招标代理服务收费管理暂行办法》（计价格〔2002〕1980号）、国家发展和改革委员会办公厅颁发的《关于招标代理服务收费有关问题的通知》（发改办价格〔2003〕857号）的有关规定执行。 2、支付方式：中标供应商应在领取通知书的同时，支付本项目代理服务费。 收款账户如下： 开户名称：陕西方得项目管理有限公司西安第十分公司 开 户 行：中国建设银行股份有限公司西安凤城十二路支行 银行账号：61050177004500000850</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铜川市应急管理局</w:t>
      </w:r>
      <w:r>
        <w:rPr>
          <w:rFonts w:ascii="仿宋_GB2312" w:hAnsi="仿宋_GB2312" w:cs="仿宋_GB2312" w:eastAsia="仿宋_GB2312"/>
        </w:rPr>
        <w:t>和</w:t>
      </w:r>
      <w:r>
        <w:rPr>
          <w:rFonts w:ascii="仿宋_GB2312" w:hAnsi="仿宋_GB2312" w:cs="仿宋_GB2312" w:eastAsia="仿宋_GB2312"/>
        </w:rPr>
        <w:t>陕西方得项目管理有限公司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铜川市应急管理局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陕西方得项目管理有限公司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陕西方得项目管理有限公司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满足采购人和招标文件要求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陕西方得项目管理有限公司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陕西方得项目管理有限公司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陕西方得项目管理有限公司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联系电话：029-89298871</w:t>
      </w:r>
    </w:p>
    <w:p>
      <w:pPr>
        <w:pStyle w:val="null3"/>
      </w:pPr>
      <w:r>
        <w:rPr>
          <w:rFonts w:ascii="仿宋_GB2312" w:hAnsi="仿宋_GB2312" w:cs="仿宋_GB2312" w:eastAsia="仿宋_GB2312"/>
        </w:rPr>
        <w:t>地址：陕西省西安市碑林区雁塔路北段1号6层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市级应急指挥部试点建设项目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1,848,000.00</w:t>
      </w:r>
    </w:p>
    <w:p>
      <w:pPr>
        <w:pStyle w:val="null3"/>
      </w:pPr>
      <w:r>
        <w:rPr>
          <w:rFonts w:ascii="仿宋_GB2312" w:hAnsi="仿宋_GB2312" w:cs="仿宋_GB2312" w:eastAsia="仿宋_GB2312"/>
        </w:rPr>
        <w:t>采购包最高限价（元）: 1,848,000.00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会议及通讯设备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384,154.00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40家企业500路以上摄像头纳管及60个灾害点位视频监测接入服务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848,262.00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侦察无人机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64,784.00</w:t>
            </w:r>
          </w:p>
        </w:tc>
        <w:tc>
          <w:tcPr>
            <w:tcW w:type="dxa" w:w="755"/>
          </w:tcPr>
          <w:p>
            <w:pPr>
              <w:pStyle w:val="null3"/>
            </w:pPr>
            <w:r>
              <w:rPr>
                <w:rFonts w:ascii="仿宋_GB2312" w:hAnsi="仿宋_GB2312" w:cs="仿宋_GB2312" w:eastAsia="仿宋_GB2312"/>
              </w:rPr>
              <w:t>架</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卫星通信设备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550,800.00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标的名称：会议及通讯设备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 xml:space="preserve"> </w:t>
            </w:r>
          </w:p>
          <w:tbl>
            <w:tblPr>
              <w:tblBorders>
                <w:top w:val="none" w:color="000000" w:sz="4"/>
                <w:left w:val="none" w:color="000000" w:sz="4"/>
                <w:bottom w:val="none" w:color="000000" w:sz="4"/>
                <w:right w:val="none" w:color="000000" w:sz="4"/>
                <w:insideH w:val="none"/>
                <w:insideV w:val="none"/>
              </w:tblBorders>
            </w:tblPr>
            <w:tblGrid>
              <w:gridCol w:w="225"/>
              <w:gridCol w:w="205"/>
              <w:gridCol w:w="316"/>
              <w:gridCol w:w="1449"/>
              <w:gridCol w:w="173"/>
              <w:gridCol w:w="186"/>
            </w:tblGrid>
            <w:tr>
              <w:tc>
                <w:tcPr>
                  <w:tcW w:type="dxa" w:w="2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p>
                  <w:pPr>
                    <w:pStyle w:val="null3"/>
                  </w:pP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会议系统升级</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无缝混合插卡矩阵</w:t>
                  </w:r>
                  <w:r>
                    <w:rPr>
                      <w:rFonts w:ascii="仿宋_GB2312" w:hAnsi="仿宋_GB2312" w:cs="仿宋_GB2312" w:eastAsia="仿宋_GB2312"/>
                      <w:sz w:val="21"/>
                    </w:rPr>
                    <w:t>+信息系统切换终端</w:t>
                  </w:r>
                </w:p>
              </w:tc>
              <w:tc>
                <w:tcPr>
                  <w:tcW w:type="dxa" w:w="1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模块化设计，不少于</w:t>
                  </w:r>
                  <w:r>
                    <w:rPr>
                      <w:rFonts w:ascii="仿宋_GB2312" w:hAnsi="仿宋_GB2312" w:cs="仿宋_GB2312" w:eastAsia="仿宋_GB2312"/>
                      <w:sz w:val="21"/>
                    </w:rPr>
                    <w:t>16进16，可接入输入卡数量不少于4块，可接入输出卡数量不少于4块，本次配置4路DVI输入、8路HDMI输入、8路HDMI输出、4路DVI输出、4路VGA输出；</w:t>
                  </w:r>
                  <w:r>
                    <w:br/>
                  </w:r>
                  <w:r>
                    <w:rPr>
                      <w:rFonts w:ascii="仿宋_GB2312" w:hAnsi="仿宋_GB2312" w:cs="仿宋_GB2312" w:eastAsia="仿宋_GB2312"/>
                      <w:sz w:val="21"/>
                    </w:rPr>
                    <w:t>2.采用嵌入式架构，无缝切换无黑屏、闪屏，无延时</w:t>
                  </w:r>
                  <w:r>
                    <w:br/>
                  </w:r>
                  <w:r>
                    <w:rPr>
                      <w:rFonts w:ascii="仿宋_GB2312" w:hAnsi="仿宋_GB2312" w:cs="仿宋_GB2312" w:eastAsia="仿宋_GB2312"/>
                      <w:sz w:val="21"/>
                    </w:rPr>
                    <w:t>3.具有RS232,TCP/IP,IR和按键控制等多种控制方式</w:t>
                  </w:r>
                </w:p>
                <w:p>
                  <w:pPr>
                    <w:pStyle w:val="null3"/>
                  </w:pPr>
                  <w:r>
                    <w:rPr>
                      <w:rFonts w:ascii="仿宋_GB2312" w:hAnsi="仿宋_GB2312" w:cs="仿宋_GB2312" w:eastAsia="仿宋_GB2312"/>
                      <w:sz w:val="21"/>
                    </w:rPr>
                    <w:t>▲支持不少于10种场景保存与调用</w:t>
                  </w:r>
                  <w:r>
                    <w:br/>
                  </w:r>
                  <w:r>
                    <w:rPr>
                      <w:rFonts w:ascii="仿宋_GB2312" w:hAnsi="仿宋_GB2312" w:cs="仿宋_GB2312" w:eastAsia="仿宋_GB2312"/>
                      <w:sz w:val="21"/>
                    </w:rPr>
                    <w:t>5.支持EDID管理，支持HDCP协议</w:t>
                  </w:r>
                  <w:r>
                    <w:br/>
                  </w:r>
                  <w:r>
                    <w:rPr>
                      <w:rFonts w:ascii="仿宋_GB2312" w:hAnsi="仿宋_GB2312" w:cs="仿宋_GB2312" w:eastAsia="仿宋_GB2312"/>
                      <w:sz w:val="21"/>
                    </w:rPr>
                    <w:t>6</w:t>
                  </w:r>
                  <w:r>
                    <w:rPr>
                      <w:rFonts w:ascii="仿宋_GB2312" w:hAnsi="仿宋_GB2312" w:cs="仿宋_GB2312" w:eastAsia="仿宋_GB2312"/>
                      <w:sz w:val="21"/>
                    </w:rPr>
                    <w:t>.▲输出支持不少于36种分辨率，支持1080P无缝输出，支持4K无缝输出</w:t>
                  </w:r>
                  <w:r>
                    <w:br/>
                  </w:r>
                  <w:r>
                    <w:rPr>
                      <w:rFonts w:ascii="仿宋_GB2312" w:hAnsi="仿宋_GB2312" w:cs="仿宋_GB2312" w:eastAsia="仿宋_GB2312"/>
                      <w:sz w:val="21"/>
                    </w:rPr>
                    <w:t>7</w:t>
                  </w:r>
                  <w:r>
                    <w:rPr>
                      <w:rFonts w:ascii="仿宋_GB2312" w:hAnsi="仿宋_GB2312" w:cs="仿宋_GB2312" w:eastAsia="仿宋_GB2312"/>
                      <w:sz w:val="21"/>
                    </w:rPr>
                    <w:t>.支持输入信号预览</w:t>
                  </w:r>
                  <w:r>
                    <w:br/>
                  </w:r>
                  <w:r>
                    <w:rPr>
                      <w:rFonts w:ascii="仿宋_GB2312" w:hAnsi="仿宋_GB2312" w:cs="仿宋_GB2312" w:eastAsia="仿宋_GB2312"/>
                      <w:sz w:val="21"/>
                    </w:rPr>
                    <w:t>8</w:t>
                  </w:r>
                  <w:r>
                    <w:rPr>
                      <w:rFonts w:ascii="仿宋_GB2312" w:hAnsi="仿宋_GB2312" w:cs="仿宋_GB2312" w:eastAsia="仿宋_GB2312"/>
                      <w:sz w:val="21"/>
                    </w:rPr>
                    <w:t>.支持输入输出信号检测</w:t>
                  </w:r>
                  <w:r>
                    <w:br/>
                  </w:r>
                  <w:r>
                    <w:rPr>
                      <w:rFonts w:ascii="仿宋_GB2312" w:hAnsi="仿宋_GB2312" w:cs="仿宋_GB2312" w:eastAsia="仿宋_GB2312"/>
                      <w:sz w:val="21"/>
                    </w:rPr>
                    <w:t>9</w:t>
                  </w:r>
                  <w:r>
                    <w:rPr>
                      <w:rFonts w:ascii="仿宋_GB2312" w:hAnsi="仿宋_GB2312" w:cs="仿宋_GB2312" w:eastAsia="仿宋_GB2312"/>
                      <w:sz w:val="21"/>
                    </w:rPr>
                    <w:t>.支持简单画面拼接</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.▲支持输入信号字符叠加</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.支持包含1920*1200、1080P@50Hz、1080P@30Hz、1080I@60Hz、1080I@30Hz、1366*768、720P@50Hz等分辨率</w:t>
                  </w:r>
                </w:p>
                <w:p>
                  <w:pPr>
                    <w:pStyle w:val="null3"/>
                  </w:pP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.支持4K信号输入输出，兼容HDCP，支持HDMI内嵌音频传输，输入卡不少于4路音频信号手动加嵌和输出卡不少于4路模拟音频信号手动解嵌</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一体化</w:t>
                  </w:r>
                  <w:r>
                    <w:rPr>
                      <w:rFonts w:ascii="仿宋_GB2312" w:hAnsi="仿宋_GB2312" w:cs="仿宋_GB2312" w:eastAsia="仿宋_GB2312"/>
                      <w:sz w:val="21"/>
                    </w:rPr>
                    <w:t>4K全场景终端</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≥1080p摄像头、触控显示屏、全向麦克风、扬声器、网络模块、锂电池等；</w:t>
                  </w:r>
                  <w:r>
                    <w:br/>
                  </w:r>
                  <w:r>
                    <w:rPr>
                      <w:rFonts w:ascii="仿宋_GB2312" w:hAnsi="仿宋_GB2312" w:cs="仿宋_GB2312" w:eastAsia="仿宋_GB2312"/>
                      <w:sz w:val="21"/>
                    </w:rPr>
                    <w:t>2、支持H.264 SVC H.265 SVC编码支持G.711、G.722、OPUS音频编解码协议；</w:t>
                  </w:r>
                  <w:r>
                    <w:br/>
                  </w:r>
                  <w:r>
                    <w:rPr>
                      <w:rFonts w:ascii="仿宋_GB2312" w:hAnsi="仿宋_GB2312" w:cs="仿宋_GB2312" w:eastAsia="仿宋_GB2312"/>
                      <w:sz w:val="21"/>
                    </w:rPr>
                    <w:t>3、▲具备≥2个HDMI输入接口</w:t>
                  </w:r>
                </w:p>
                <w:p>
                  <w:pPr>
                    <w:pStyle w:val="null3"/>
                  </w:pPr>
                  <w:r>
                    <w:rPr>
                      <w:rFonts w:ascii="仿宋_GB2312" w:hAnsi="仿宋_GB2312" w:cs="仿宋_GB2312" w:eastAsia="仿宋_GB2312"/>
                      <w:sz w:val="21"/>
                    </w:rPr>
                    <w:t>4、</w:t>
                  </w:r>
                  <w:r>
                    <w:rPr>
                      <w:rFonts w:ascii="仿宋_GB2312" w:hAnsi="仿宋_GB2312" w:cs="仿宋_GB2312" w:eastAsia="仿宋_GB2312"/>
                      <w:sz w:val="21"/>
                    </w:rPr>
                    <w:t>具备</w:t>
                  </w:r>
                  <w:r>
                    <w:rPr>
                      <w:rFonts w:ascii="仿宋_GB2312" w:hAnsi="仿宋_GB2312" w:cs="仿宋_GB2312" w:eastAsia="仿宋_GB2312"/>
                      <w:sz w:val="21"/>
                    </w:rPr>
                    <w:t>≥1个3.5mm音频输入接口，具备≥1个3.5mm音频输出接口</w:t>
                  </w:r>
                  <w:r>
                    <w:br/>
                  </w:r>
                  <w:r>
                    <w:rPr>
                      <w:rFonts w:ascii="仿宋_GB2312" w:hAnsi="仿宋_GB2312" w:cs="仿宋_GB2312" w:eastAsia="仿宋_GB2312"/>
                      <w:sz w:val="21"/>
                    </w:rPr>
                    <w:t>5</w:t>
                  </w:r>
                  <w:r>
                    <w:rPr>
                      <w:rFonts w:ascii="仿宋_GB2312" w:hAnsi="仿宋_GB2312" w:cs="仿宋_GB2312" w:eastAsia="仿宋_GB2312"/>
                      <w:sz w:val="21"/>
                    </w:rPr>
                    <w:t>、具备</w:t>
                  </w:r>
                  <w:r>
                    <w:rPr>
                      <w:rFonts w:ascii="仿宋_GB2312" w:hAnsi="仿宋_GB2312" w:cs="仿宋_GB2312" w:eastAsia="仿宋_GB2312"/>
                      <w:sz w:val="21"/>
                    </w:rPr>
                    <w:t>RJ-45有线网络网络接口；支持WiFi无线接入；</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▲内置SIM卡槽，可插SIM卡接入运营商网络进行视频通话；</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▲内置锂电池，连续工作时间≥3小时；</w:t>
                  </w:r>
                  <w:r>
                    <w:br/>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▲触控显示屏尺寸≥11英寸；支持通过自有触屏进行会控实现会议中发言管理包括：邀请入会和退出会议操作，可以实现挂断、静音、解除静音、开启/关闭摄像头、录制、窗口布局、共享白板等；</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▲终端支持人物视频叠加虚拟背景，隐藏周边环境，保护参会人隐私；</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▲终端支持换肤定制能力，实现个性化显示终端开机LOGO、待机屏保等凸显用户方的图形图案、文字等元素；</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、支持通过三脚架进行固定安装。</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台</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定制（</w:t>
                  </w:r>
                  <w:r>
                    <w:rPr>
                      <w:rFonts w:ascii="仿宋_GB2312" w:hAnsi="仿宋_GB2312" w:cs="仿宋_GB2312" w:eastAsia="仿宋_GB2312"/>
                      <w:sz w:val="21"/>
                    </w:rPr>
                    <w:t>4K无线传输器）</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适用笔记本电脑、台式机接电视显示器、投影仪。</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370M窄带通信多模终端</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370M窄带对讲</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1、同时支持专网PDT和公网PoC制式；</w:t>
                  </w:r>
                </w:p>
                <w:p>
                  <w:pPr>
                    <w:pStyle w:val="null3"/>
                  </w:pPr>
                  <w:r>
                    <w:rPr>
                      <w:rFonts w:ascii="仿宋_GB2312" w:hAnsi="仿宋_GB2312" w:cs="仿宋_GB2312" w:eastAsia="仿宋_GB2312"/>
                      <w:sz w:val="21"/>
                    </w:rPr>
                    <w:t>2、屏幕主屏幕尺寸≥3.5英寸；</w:t>
                  </w:r>
                </w:p>
                <w:p>
                  <w:pPr>
                    <w:pStyle w:val="null3"/>
                  </w:pPr>
                  <w:r>
                    <w:rPr>
                      <w:rFonts w:ascii="仿宋_GB2312" w:hAnsi="仿宋_GB2312" w:cs="仿宋_GB2312" w:eastAsia="仿宋_GB2312"/>
                      <w:sz w:val="21"/>
                    </w:rPr>
                    <w:t>3、具备仅支持北斗定位；</w:t>
                  </w:r>
                </w:p>
                <w:p>
                  <w:pPr>
                    <w:pStyle w:val="null3"/>
                  </w:pPr>
                  <w:r>
                    <w:rPr>
                      <w:rFonts w:ascii="仿宋_GB2312" w:hAnsi="仿宋_GB2312" w:cs="仿宋_GB2312" w:eastAsia="仿宋_GB2312"/>
                      <w:sz w:val="21"/>
                    </w:rPr>
                    <w:t>4、PDT工作频率：350～400MHz；</w:t>
                  </w:r>
                </w:p>
                <w:p>
                  <w:pPr>
                    <w:pStyle w:val="null3"/>
                  </w:pPr>
                  <w:r>
                    <w:rPr>
                      <w:rFonts w:ascii="仿宋_GB2312" w:hAnsi="仿宋_GB2312" w:cs="仿宋_GB2312" w:eastAsia="仿宋_GB2312"/>
                      <w:sz w:val="21"/>
                    </w:rPr>
                    <w:t>5、窄带信道间隔：12.5kHz；</w:t>
                  </w:r>
                </w:p>
                <w:p>
                  <w:pPr>
                    <w:pStyle w:val="null3"/>
                  </w:pPr>
                  <w:r>
                    <w:rPr>
                      <w:rFonts w:ascii="仿宋_GB2312" w:hAnsi="仿宋_GB2312" w:cs="仿宋_GB2312" w:eastAsia="仿宋_GB2312"/>
                      <w:sz w:val="21"/>
                    </w:rPr>
                    <w:t>6、窄带频率误差：±0.5ppm；</w:t>
                  </w:r>
                </w:p>
                <w:p>
                  <w:pPr>
                    <w:pStyle w:val="null3"/>
                  </w:pPr>
                  <w:r>
                    <w:rPr>
                      <w:rFonts w:ascii="仿宋_GB2312" w:hAnsi="仿宋_GB2312" w:cs="仿宋_GB2312" w:eastAsia="仿宋_GB2312"/>
                      <w:sz w:val="21"/>
                    </w:rPr>
                    <w:t>7、电池容量：≥2000mAh；</w:t>
                  </w:r>
                </w:p>
                <w:p>
                  <w:pPr>
                    <w:pStyle w:val="null3"/>
                  </w:pPr>
                  <w:r>
                    <w:rPr>
                      <w:rFonts w:ascii="仿宋_GB2312" w:hAnsi="仿宋_GB2312" w:cs="仿宋_GB2312" w:eastAsia="仿宋_GB2312"/>
                      <w:sz w:val="21"/>
                    </w:rPr>
                    <w:t>8、防护等级：≥IP67；</w:t>
                  </w:r>
                </w:p>
                <w:p>
                  <w:pPr>
                    <w:pStyle w:val="null3"/>
                  </w:pPr>
                  <w:r>
                    <w:rPr>
                      <w:rFonts w:ascii="仿宋_GB2312" w:hAnsi="仿宋_GB2312" w:cs="仿宋_GB2312" w:eastAsia="仿宋_GB2312"/>
                      <w:sz w:val="21"/>
                    </w:rPr>
                    <w:t>9、处理器:八核处理器，主频:≥1.8GHz；</w:t>
                  </w:r>
                </w:p>
                <w:p>
                  <w:pPr>
                    <w:pStyle w:val="null3"/>
                  </w:pPr>
                  <w:r>
                    <w:rPr>
                      <w:rFonts w:ascii="仿宋_GB2312" w:hAnsi="仿宋_GB2312" w:cs="仿宋_GB2312" w:eastAsia="仿宋_GB2312"/>
                      <w:sz w:val="21"/>
                    </w:rPr>
                    <w:t>10、蓝牙版本≥4.2；</w:t>
                  </w:r>
                </w:p>
                <w:p>
                  <w:pPr>
                    <w:pStyle w:val="null3"/>
                  </w:pPr>
                  <w:r>
                    <w:rPr>
                      <w:rFonts w:ascii="仿宋_GB2312" w:hAnsi="仿宋_GB2312" w:cs="仿宋_GB2312" w:eastAsia="仿宋_GB2312"/>
                      <w:sz w:val="21"/>
                    </w:rPr>
                    <w:t>11、安卓操作系统≥10.0；</w:t>
                  </w:r>
                </w:p>
                <w:p>
                  <w:pPr>
                    <w:pStyle w:val="null3"/>
                  </w:pPr>
                  <w:r>
                    <w:rPr>
                      <w:rFonts w:ascii="仿宋_GB2312" w:hAnsi="仿宋_GB2312" w:cs="仿宋_GB2312" w:eastAsia="仿宋_GB2312"/>
                      <w:sz w:val="21"/>
                    </w:rPr>
                    <w:t>12、接口：TYPCE-C接口，支持充电、数据传输功能；</w:t>
                  </w:r>
                </w:p>
                <w:p>
                  <w:pPr>
                    <w:pStyle w:val="null3"/>
                  </w:pPr>
                  <w:r>
                    <w:rPr>
                      <w:rFonts w:ascii="仿宋_GB2312" w:hAnsi="仿宋_GB2312" w:cs="仿宋_GB2312" w:eastAsia="仿宋_GB2312"/>
                      <w:sz w:val="21"/>
                    </w:rPr>
                    <w:t>13、支持组呼、个呼、强拆插、呼叫转移、包容呼叫、呼叫显示；呼叫限制、呼叫排队、呼叫并入、迟后进入、动态重组、环境侦听通话提示、背景组、遥晕、遥毙、单站集群提示、超出服务区显示等功能；</w:t>
                  </w:r>
                </w:p>
                <w:p>
                  <w:pPr>
                    <w:pStyle w:val="null3"/>
                  </w:pPr>
                  <w:r>
                    <w:rPr>
                      <w:rFonts w:ascii="仿宋_GB2312" w:hAnsi="仿宋_GB2312" w:cs="仿宋_GB2312" w:eastAsia="仿宋_GB2312"/>
                      <w:sz w:val="21"/>
                    </w:rPr>
                    <w:t>14、支持多麦降噪功能；</w:t>
                  </w:r>
                </w:p>
                <w:p>
                  <w:pPr>
                    <w:pStyle w:val="null3"/>
                  </w:pPr>
                  <w:r>
                    <w:rPr>
                      <w:rFonts w:ascii="仿宋_GB2312" w:hAnsi="仿宋_GB2312" w:cs="仿宋_GB2312" w:eastAsia="仿宋_GB2312"/>
                      <w:sz w:val="21"/>
                    </w:rPr>
                    <w:t>15、★必需无缝接入陕西省应急管理厅370MHz无线数集群系统功能不变，实现语音互通，与数字集群对讲机、多模智能终端等终端语音互通，中标后联网测试，提交承诺函加盖投标人公章；</w:t>
                  </w:r>
                </w:p>
                <w:p>
                  <w:pPr>
                    <w:pStyle w:val="null3"/>
                  </w:pPr>
                  <w:r>
                    <w:rPr>
                      <w:rFonts w:ascii="仿宋_GB2312" w:hAnsi="仿宋_GB2312" w:cs="仿宋_GB2312" w:eastAsia="仿宋_GB2312"/>
                      <w:sz w:val="21"/>
                    </w:rPr>
                    <w:t>16、★对讲机须具有中华人民共和国工业和信息化部颁发的《无线电发射设备型号核准证》，须提供证书复印件加盖投标单位公章。</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24</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会议系统升级</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施工调测及技术服务费</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安装、调试、施工布线以及技术交付维护（对</w:t>
                  </w:r>
                  <w:r>
                    <w:rPr>
                      <w:rFonts w:ascii="仿宋_GB2312" w:hAnsi="仿宋_GB2312" w:cs="仿宋_GB2312" w:eastAsia="仿宋_GB2312"/>
                      <w:sz w:val="21"/>
                    </w:rPr>
                    <w:t>30个地插进行修复处理，桌子开穿线孔，将线路简化，防止绊脚及桌椅放置不平问题，解决线路接触不良有噪音问题）等</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项</w:t>
                  </w:r>
                </w:p>
              </w:tc>
            </w:tr>
          </w:tbl>
          <w:p>
            <w:pPr>
              <w:pStyle w:val="null3"/>
            </w:pPr>
            <w:r>
              <w:rPr>
                <w:rFonts w:ascii="仿宋_GB2312" w:hAnsi="仿宋_GB2312" w:cs="仿宋_GB2312" w:eastAsia="仿宋_GB2312"/>
              </w:rPr>
              <w:t>注：</w:t>
            </w:r>
            <w:r>
              <w:br/>
            </w:r>
            <w:r>
              <w:rPr>
                <w:rFonts w:ascii="仿宋_GB2312" w:hAnsi="仿宋_GB2312" w:cs="仿宋_GB2312" w:eastAsia="仿宋_GB2312"/>
              </w:rPr>
              <w:t xml:space="preserve"> 1.“★”参数不允许负偏离，需提供证明材料（包括但不限于检测报告，官网截图，产品彩页），未提供证明材料视为重大负偏离，按废标处理。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标的名称：40家企业500路以上摄像头纳管及60个灾害点位视频监测接入服务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5"/>
              <w:gridCol w:w="205"/>
              <w:gridCol w:w="316"/>
              <w:gridCol w:w="1449"/>
              <w:gridCol w:w="173"/>
              <w:gridCol w:w="186"/>
            </w:tblGrid>
            <w:tr>
              <w:tc>
                <w:tcPr>
                  <w:tcW w:type="dxa" w:w="2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2</w:t>
                  </w:r>
                </w:p>
                <w:p>
                  <w:pPr>
                    <w:pStyle w:val="null3"/>
                  </w:pP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40家企业500路以上摄像头接入及60个灾害点位视频监测接入服务</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16路NVR硬盘录像机</w:t>
                  </w:r>
                </w:p>
              </w:tc>
              <w:tc>
                <w:tcPr>
                  <w:tcW w:type="dxa" w:w="1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≥1个VGA接口、≥1个HDMI接口、≥1路RCA音频输入接口、≥1路RCA音频输出接口、≥2个USB、≥2个千兆以太网接口</w:t>
                  </w:r>
                </w:p>
                <w:p>
                  <w:pPr>
                    <w:pStyle w:val="null3"/>
                  </w:pPr>
                  <w:r>
                    <w:rPr>
                      <w:rFonts w:ascii="仿宋_GB2312" w:hAnsi="仿宋_GB2312" w:cs="仿宋_GB2312" w:eastAsia="仿宋_GB2312"/>
                      <w:sz w:val="21"/>
                    </w:rPr>
                    <w:t>2.可接入1T、2T、3T、4T、6T、8T容量的SATA接口硬盘；可接入AI硬盘</w:t>
                  </w:r>
                  <w:r>
                    <w:br/>
                  </w:r>
                  <w:r>
                    <w:rPr>
                      <w:rFonts w:ascii="仿宋_GB2312" w:hAnsi="仿宋_GB2312" w:cs="仿宋_GB2312" w:eastAsia="仿宋_GB2312"/>
                      <w:sz w:val="21"/>
                    </w:rPr>
                    <w:t>3.多址设定：可将2个网口设置不同网段的IP地址</w:t>
                  </w:r>
                  <w:r>
                    <w:br/>
                  </w:r>
                  <w:r>
                    <w:rPr>
                      <w:rFonts w:ascii="仿宋_GB2312" w:hAnsi="仿宋_GB2312" w:cs="仿宋_GB2312" w:eastAsia="仿宋_GB2312"/>
                      <w:sz w:val="21"/>
                    </w:rPr>
                    <w:t>4.输入带宽：≥160Mbps，输出带宽：≥80Mbps</w:t>
                  </w:r>
                  <w:r>
                    <w:br/>
                  </w:r>
                  <w:r>
                    <w:rPr>
                      <w:rFonts w:ascii="仿宋_GB2312" w:hAnsi="仿宋_GB2312" w:cs="仿宋_GB2312" w:eastAsia="仿宋_GB2312"/>
                      <w:sz w:val="21"/>
                    </w:rPr>
                    <w:t>5.接入能力：16路H.264、H.265格式高清码流接入</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400万球机含支架含60W网络音柱含太阳能系统含话筒</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400万球机含支架：</w:t>
                  </w:r>
                </w:p>
                <w:p>
                  <w:pPr>
                    <w:pStyle w:val="null3"/>
                  </w:pPr>
                  <w:r>
                    <w:rPr>
                      <w:rFonts w:ascii="仿宋_GB2312" w:hAnsi="仿宋_GB2312" w:cs="仿宋_GB2312" w:eastAsia="仿宋_GB2312"/>
                      <w:sz w:val="21"/>
                    </w:rPr>
                    <w:t>支持输出图像分辨率不低于</w:t>
                  </w:r>
                  <w:r>
                    <w:rPr>
                      <w:rFonts w:ascii="仿宋_GB2312" w:hAnsi="仿宋_GB2312" w:cs="仿宋_GB2312" w:eastAsia="仿宋_GB2312"/>
                      <w:sz w:val="21"/>
                    </w:rPr>
                    <w:t>2560×1440</w:t>
                  </w:r>
                  <w:r>
                    <w:br/>
                  </w:r>
                  <w:r>
                    <w:rPr>
                      <w:rFonts w:ascii="仿宋_GB2312" w:hAnsi="仿宋_GB2312" w:cs="仿宋_GB2312" w:eastAsia="仿宋_GB2312"/>
                      <w:sz w:val="21"/>
                    </w:rPr>
                    <w:t>2.支持≥23倍光学变焦，最大焦距≥110mm</w:t>
                  </w:r>
                  <w:r>
                    <w:br/>
                  </w:r>
                  <w:r>
                    <w:rPr>
                      <w:rFonts w:ascii="仿宋_GB2312" w:hAnsi="仿宋_GB2312" w:cs="仿宋_GB2312" w:eastAsia="仿宋_GB2312"/>
                      <w:sz w:val="21"/>
                    </w:rPr>
                    <w:t>3.支持1进1出报警接口，1进1出音频接口,内置麦克风</w:t>
                  </w:r>
                  <w:r>
                    <w:br/>
                  </w:r>
                  <w:r>
                    <w:rPr>
                      <w:rFonts w:ascii="仿宋_GB2312" w:hAnsi="仿宋_GB2312" w:cs="仿宋_GB2312" w:eastAsia="仿宋_GB2312"/>
                      <w:sz w:val="21"/>
                    </w:rPr>
                    <w:t>4. 水平旋转范围为360°连续旋转，垂直旋转范围为不低于-5°~90°</w:t>
                  </w:r>
                  <w:r>
                    <w:br/>
                  </w:r>
                  <w:r>
                    <w:rPr>
                      <w:rFonts w:ascii="仿宋_GB2312" w:hAnsi="仿宋_GB2312" w:cs="仿宋_GB2312" w:eastAsia="仿宋_GB2312"/>
                      <w:sz w:val="21"/>
                    </w:rPr>
                    <w:t>5. 在丢包率为20%的网络环境下，仍可正常显示监视画面</w:t>
                  </w:r>
                  <w:r>
                    <w:br/>
                  </w:r>
                  <w:r>
                    <w:rPr>
                      <w:rFonts w:ascii="仿宋_GB2312" w:hAnsi="仿宋_GB2312" w:cs="仿宋_GB2312" w:eastAsia="仿宋_GB2312"/>
                      <w:sz w:val="21"/>
                    </w:rPr>
                    <w:t>6. 防护等级：≥IP66</w:t>
                  </w:r>
                </w:p>
                <w:p>
                  <w:pPr>
                    <w:pStyle w:val="null3"/>
                  </w:pPr>
                  <w:r>
                    <w:rPr>
                      <w:rFonts w:ascii="仿宋_GB2312" w:hAnsi="仿宋_GB2312" w:cs="仿宋_GB2312" w:eastAsia="仿宋_GB2312"/>
                      <w:sz w:val="21"/>
                    </w:rPr>
                    <w:t>支持镜头前盖玻璃加热</w:t>
                  </w:r>
                </w:p>
                <w:p>
                  <w:pPr>
                    <w:pStyle w:val="null3"/>
                  </w:pPr>
                  <w:r>
                    <w:rPr>
                      <w:rFonts w:ascii="仿宋_GB2312" w:hAnsi="仿宋_GB2312" w:cs="仿宋_GB2312" w:eastAsia="仿宋_GB2312"/>
                      <w:sz w:val="21"/>
                    </w:rPr>
                    <w:t>8.支持4G/5G（移动、联通，电信）网络传输                                                                                   音柱：</w:t>
                  </w:r>
                </w:p>
                <w:p>
                  <w:pPr>
                    <w:pStyle w:val="null3"/>
                  </w:pPr>
                  <w:r>
                    <w:rPr>
                      <w:rFonts w:ascii="仿宋_GB2312" w:hAnsi="仿宋_GB2312" w:cs="仿宋_GB2312" w:eastAsia="仿宋_GB2312"/>
                      <w:sz w:val="21"/>
                    </w:rPr>
                    <w:t>1.60W网络音柱,网络音频解码、D类功放及全频喇叭三合一</w:t>
                  </w:r>
                  <w:r>
                    <w:br/>
                  </w:r>
                  <w:r>
                    <w:rPr>
                      <w:rFonts w:ascii="仿宋_GB2312" w:hAnsi="仿宋_GB2312" w:cs="仿宋_GB2312" w:eastAsia="仿宋_GB2312"/>
                      <w:sz w:val="21"/>
                    </w:rPr>
                    <w:t>2.双核芯片，内置NOR Flash+EMMC双存储，支持系统双备份</w:t>
                  </w:r>
                </w:p>
                <w:p>
                  <w:pPr>
                    <w:pStyle w:val="null3"/>
                  </w:pPr>
                  <w:r>
                    <w:rPr>
                      <w:rFonts w:ascii="仿宋_GB2312" w:hAnsi="仿宋_GB2312" w:cs="仿宋_GB2312" w:eastAsia="仿宋_GB2312"/>
                      <w:sz w:val="21"/>
                    </w:rPr>
                    <w:t>3.</w:t>
                  </w:r>
                  <w:r>
                    <w:rPr>
                      <w:rFonts w:ascii="仿宋_GB2312" w:hAnsi="仿宋_GB2312" w:cs="仿宋_GB2312" w:eastAsia="仿宋_GB2312"/>
                      <w:sz w:val="21"/>
                    </w:rPr>
                    <w:t>支持安全启动、用户登录锁定机制及密码复杂度提示，支持安全审计日志事后可追溯</w:t>
                  </w:r>
                  <w:r>
                    <w:br/>
                  </w:r>
                  <w:r>
                    <w:rPr>
                      <w:rFonts w:ascii="仿宋_GB2312" w:hAnsi="仿宋_GB2312" w:cs="仿宋_GB2312" w:eastAsia="仿宋_GB2312"/>
                      <w:sz w:val="21"/>
                    </w:rPr>
                    <w:t>4.支持实时和定时任务播放，支持本地保存≥60个定时任务，内置≥1GB存储空间支持≥1000个wav、mp3音频素材库管理</w:t>
                  </w:r>
                  <w:r>
                    <w:br/>
                  </w:r>
                  <w:r>
                    <w:rPr>
                      <w:rFonts w:ascii="仿宋_GB2312" w:hAnsi="仿宋_GB2312" w:cs="仿宋_GB2312" w:eastAsia="仿宋_GB2312"/>
                      <w:sz w:val="21"/>
                    </w:rPr>
                    <w:t>5.支持DC/POE等多种供电方式</w:t>
                  </w:r>
                </w:p>
                <w:p>
                  <w:pPr>
                    <w:pStyle w:val="null3"/>
                  </w:pPr>
                  <w:r>
                    <w:rPr>
                      <w:rFonts w:ascii="仿宋_GB2312" w:hAnsi="仿宋_GB2312" w:cs="仿宋_GB2312" w:eastAsia="仿宋_GB2312"/>
                      <w:sz w:val="21"/>
                    </w:rPr>
                    <w:t xml:space="preserve">6.支持离线广播功能，下发音频文件、定时广播任务和报警触发任务后，终端在断网后可继续播放                                   </w:t>
                  </w:r>
                  <w:r>
                    <w:br/>
                  </w:r>
                  <w:r>
                    <w:rPr>
                      <w:rFonts w:ascii="仿宋_GB2312" w:hAnsi="仿宋_GB2312" w:cs="仿宋_GB2312" w:eastAsia="仿宋_GB2312"/>
                      <w:sz w:val="21"/>
                    </w:rPr>
                    <w:t>太阳能系统：</w:t>
                  </w:r>
                </w:p>
                <w:p>
                  <w:pPr>
                    <w:pStyle w:val="null3"/>
                  </w:pPr>
                  <w:r>
                    <w:rPr>
                      <w:rFonts w:ascii="仿宋_GB2312" w:hAnsi="仿宋_GB2312" w:cs="仿宋_GB2312" w:eastAsia="仿宋_GB2312"/>
                      <w:sz w:val="21"/>
                    </w:rPr>
                    <w:t>1.24V、200W太阳能供电</w:t>
                  </w:r>
                  <w:r>
                    <w:br/>
                  </w:r>
                  <w:r>
                    <w:rPr>
                      <w:rFonts w:ascii="仿宋_GB2312" w:hAnsi="仿宋_GB2312" w:cs="仿宋_GB2312" w:eastAsia="仿宋_GB2312"/>
                      <w:sz w:val="21"/>
                    </w:rPr>
                    <w:t>2.MPPT 15A 太阳能充电控制器</w:t>
                  </w:r>
                  <w:r>
                    <w:br/>
                  </w:r>
                  <w:r>
                    <w:rPr>
                      <w:rFonts w:ascii="仿宋_GB2312" w:hAnsi="仿宋_GB2312" w:cs="仿宋_GB2312" w:eastAsia="仿宋_GB2312"/>
                      <w:sz w:val="21"/>
                    </w:rPr>
                    <w:t>3.太阳能配电柜</w:t>
                  </w:r>
                  <w:r>
                    <w:br/>
                  </w:r>
                  <w:r>
                    <w:rPr>
                      <w:rFonts w:ascii="仿宋_GB2312" w:hAnsi="仿宋_GB2312" w:cs="仿宋_GB2312" w:eastAsia="仿宋_GB2312"/>
                      <w:sz w:val="21"/>
                    </w:rPr>
                    <w:t>4.立杆安装支架</w:t>
                  </w:r>
                  <w:r>
                    <w:br/>
                  </w:r>
                  <w:r>
                    <w:rPr>
                      <w:rFonts w:ascii="仿宋_GB2312" w:hAnsi="仿宋_GB2312" w:cs="仿宋_GB2312" w:eastAsia="仿宋_GB2312"/>
                      <w:sz w:val="21"/>
                    </w:rPr>
                    <w:t>5.定制光伏专用线缆</w:t>
                  </w:r>
                  <w:r>
                    <w:br/>
                  </w:r>
                  <w:r>
                    <w:rPr>
                      <w:rFonts w:ascii="仿宋_GB2312" w:hAnsi="仿宋_GB2312" w:cs="仿宋_GB2312" w:eastAsia="仿宋_GB2312"/>
                      <w:sz w:val="21"/>
                    </w:rPr>
                    <w:t>6.立杆镀锌防锈6M114对接</w:t>
                  </w:r>
                  <w:r>
                    <w:br/>
                  </w:r>
                  <w:r>
                    <w:rPr>
                      <w:rFonts w:ascii="仿宋_GB2312" w:hAnsi="仿宋_GB2312" w:cs="仿宋_GB2312" w:eastAsia="仿宋_GB2312"/>
                      <w:sz w:val="21"/>
                    </w:rPr>
                    <w:t xml:space="preserve">7.预埋施工所有辅材      </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60</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网络寻呼话筒</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br/>
                  </w:r>
                  <w:r>
                    <w:rPr>
                      <w:rFonts w:ascii="仿宋_GB2312" w:hAnsi="仿宋_GB2312" w:cs="仿宋_GB2312" w:eastAsia="仿宋_GB2312"/>
                      <w:sz w:val="21"/>
                    </w:rPr>
                    <w:t>1</w:t>
                  </w:r>
                  <w:r>
                    <w:rPr>
                      <w:rFonts w:ascii="仿宋_GB2312" w:hAnsi="仿宋_GB2312" w:cs="仿宋_GB2312" w:eastAsia="仿宋_GB2312"/>
                      <w:sz w:val="21"/>
                    </w:rPr>
                    <w:t>.前面板≥7寸彩色IPS 触摸屏，分辨率：≥1024 × 600</w:t>
                  </w:r>
                  <w:r>
                    <w:br/>
                  </w:r>
                  <w:r>
                    <w:rPr>
                      <w:rFonts w:ascii="仿宋_GB2312" w:hAnsi="仿宋_GB2312" w:cs="仿宋_GB2312" w:eastAsia="仿宋_GB2312"/>
                      <w:sz w:val="21"/>
                    </w:rPr>
                    <w:t>2</w:t>
                  </w:r>
                  <w:r>
                    <w:rPr>
                      <w:rFonts w:ascii="仿宋_GB2312" w:hAnsi="仿宋_GB2312" w:cs="仿宋_GB2312" w:eastAsia="仿宋_GB2312"/>
                      <w:sz w:val="21"/>
                    </w:rPr>
                    <w:t>.支持对指定的分区或终端进行实时广播</w:t>
                  </w:r>
                  <w:r>
                    <w:br/>
                  </w:r>
                  <w:r>
                    <w:rPr>
                      <w:rFonts w:ascii="仿宋_GB2312" w:hAnsi="仿宋_GB2312" w:cs="仿宋_GB2312" w:eastAsia="仿宋_GB2312"/>
                      <w:sz w:val="21"/>
                    </w:rPr>
                    <w:t>3</w:t>
                  </w:r>
                  <w:r>
                    <w:rPr>
                      <w:rFonts w:ascii="仿宋_GB2312" w:hAnsi="仿宋_GB2312" w:cs="仿宋_GB2312" w:eastAsia="仿宋_GB2312"/>
                      <w:sz w:val="21"/>
                    </w:rPr>
                    <w:t>.可选择一个或者多个终端,设定快捷键对外进行广播；、</w:t>
                  </w:r>
                </w:p>
                <w:p>
                  <w:pPr>
                    <w:pStyle w:val="null3"/>
                  </w:pPr>
                  <w:r>
                    <w:rPr>
                      <w:rFonts w:ascii="仿宋_GB2312" w:hAnsi="仿宋_GB2312" w:cs="仿宋_GB2312" w:eastAsia="仿宋_GB2312"/>
                      <w:sz w:val="21"/>
                    </w:rPr>
                    <w:t>4</w:t>
                  </w:r>
                  <w:r>
                    <w:rPr>
                      <w:rFonts w:ascii="仿宋_GB2312" w:hAnsi="仿宋_GB2312" w:cs="仿宋_GB2312" w:eastAsia="仿宋_GB2312"/>
                      <w:sz w:val="21"/>
                    </w:rPr>
                    <w:t>. ≥1路鹅颈喊话输入、内置麦输入和3.5 mm输入</w:t>
                  </w:r>
                  <w:r>
                    <w:br/>
                  </w:r>
                  <w:r>
                    <w:rPr>
                      <w:rFonts w:ascii="仿宋_GB2312" w:hAnsi="仿宋_GB2312" w:cs="仿宋_GB2312" w:eastAsia="仿宋_GB2312"/>
                      <w:sz w:val="21"/>
                    </w:rPr>
                    <w:t>5</w:t>
                  </w:r>
                  <w:r>
                    <w:rPr>
                      <w:rFonts w:ascii="仿宋_GB2312" w:hAnsi="仿宋_GB2312" w:cs="仿宋_GB2312" w:eastAsia="仿宋_GB2312"/>
                      <w:sz w:val="21"/>
                    </w:rPr>
                    <w:t>. ≥1路本地扬声器输出</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广播播音管理</w:t>
                  </w:r>
                  <w:r>
                    <w:rPr>
                      <w:rFonts w:ascii="仿宋_GB2312" w:hAnsi="仿宋_GB2312" w:cs="仿宋_GB2312" w:eastAsia="仿宋_GB2312"/>
                      <w:sz w:val="21"/>
                    </w:rPr>
                    <w:t>+音频采集终端管理</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r>
                    <w:rPr>
                      <w:rFonts w:ascii="仿宋_GB2312" w:hAnsi="仿宋_GB2312" w:cs="仿宋_GB2312" w:eastAsia="仿宋_GB2312"/>
                      <w:sz w:val="21"/>
                    </w:rPr>
                    <w:t>广播播音管理：</w:t>
                  </w:r>
                </w:p>
                <w:p>
                  <w:pPr>
                    <w:pStyle w:val="null3"/>
                  </w:pPr>
                  <w:r>
                    <w:rPr>
                      <w:rFonts w:ascii="仿宋_GB2312" w:hAnsi="仿宋_GB2312" w:cs="仿宋_GB2312" w:eastAsia="仿宋_GB2312"/>
                      <w:sz w:val="21"/>
                    </w:rPr>
                    <w:t>广播播音管理包含广播设备管理、广播分区管理、媒体库管理、实时广播、定时广播、广播统计、广播记录。</w:t>
                  </w:r>
                  <w:r>
                    <w:br/>
                  </w:r>
                  <w:r>
                    <w:rPr>
                      <w:rFonts w:ascii="仿宋_GB2312" w:hAnsi="仿宋_GB2312" w:cs="仿宋_GB2312" w:eastAsia="仿宋_GB2312"/>
                      <w:sz w:val="21"/>
                    </w:rPr>
                    <w:t>2.实时广播通过接入网络功放、网络音箱\音柱设备实现公共广播能力，提供分区广播、实时广播、紧急广播、媒体库管理、广播录音功能服务。</w:t>
                  </w:r>
                  <w:r>
                    <w:br/>
                  </w:r>
                  <w:r>
                    <w:rPr>
                      <w:rFonts w:ascii="仿宋_GB2312" w:hAnsi="仿宋_GB2312" w:cs="仿宋_GB2312" w:eastAsia="仿宋_GB2312"/>
                      <w:sz w:val="21"/>
                    </w:rPr>
                    <w:t>3.分区广播，支持广播点分区管理，可选择单个\多个分区进行广播操作；</w:t>
                  </w:r>
                  <w:r>
                    <w:br/>
                  </w:r>
                  <w:r>
                    <w:rPr>
                      <w:rFonts w:ascii="仿宋_GB2312" w:hAnsi="仿宋_GB2312" w:cs="仿宋_GB2312" w:eastAsia="仿宋_GB2312"/>
                      <w:sz w:val="21"/>
                    </w:rPr>
                    <w:t>4.实时喊话广播，支持通过实时喊话进行实时广播；</w:t>
                  </w:r>
                  <w:r>
                    <w:br/>
                  </w:r>
                  <w:r>
                    <w:rPr>
                      <w:rFonts w:ascii="仿宋_GB2312" w:hAnsi="仿宋_GB2312" w:cs="仿宋_GB2312" w:eastAsia="仿宋_GB2312"/>
                      <w:sz w:val="21"/>
                    </w:rPr>
                    <w:t>5.支持选择媒体文件进行实时广播和媒体库管理；媒体轮巡广播，支持轮巡模式进行媒体广播播放；</w:t>
                  </w:r>
                  <w:r>
                    <w:br/>
                  </w:r>
                  <w:r>
                    <w:rPr>
                      <w:rFonts w:ascii="仿宋_GB2312" w:hAnsi="仿宋_GB2312" w:cs="仿宋_GB2312" w:eastAsia="仿宋_GB2312"/>
                      <w:sz w:val="21"/>
                    </w:rPr>
                    <w:t>6.紧急广播，支持一键全区广播，优先级最高可抢断所有正在执行的广播任务。</w:t>
                  </w:r>
                  <w:r>
                    <w:br/>
                  </w:r>
                  <w:r>
                    <w:rPr>
                      <w:rFonts w:ascii="仿宋_GB2312" w:hAnsi="仿宋_GB2312" w:cs="仿宋_GB2312" w:eastAsia="仿宋_GB2312"/>
                      <w:sz w:val="21"/>
                    </w:rPr>
                    <w:t>7.定时广播通过定时任务编排管理，可制定某个时间点在某些广播点位播放特定内容的广播任务。支持定时广播管理，可对定时广播任务执行暂停操作；</w:t>
                  </w:r>
                  <w:r>
                    <w:br/>
                  </w:r>
                  <w:r>
                    <w:rPr>
                      <w:rFonts w:ascii="仿宋_GB2312" w:hAnsi="仿宋_GB2312" w:cs="仿宋_GB2312" w:eastAsia="仿宋_GB2312"/>
                      <w:sz w:val="21"/>
                    </w:rPr>
                    <w:t>8.支持下发定时任务至广播终端，由终端定时触发广播任务；</w:t>
                  </w:r>
                  <w:r>
                    <w:br/>
                  </w:r>
                  <w:r>
                    <w:rPr>
                      <w:rFonts w:ascii="仿宋_GB2312" w:hAnsi="仿宋_GB2312" w:cs="仿宋_GB2312" w:eastAsia="仿宋_GB2312"/>
                      <w:sz w:val="21"/>
                    </w:rPr>
                    <w:t>9.支持中心端和设备端两种定时广播任务模式。</w:t>
                  </w:r>
                  <w:r>
                    <w:br/>
                  </w:r>
                  <w:r>
                    <w:rPr>
                      <w:rFonts w:ascii="仿宋_GB2312" w:hAnsi="仿宋_GB2312" w:cs="仿宋_GB2312" w:eastAsia="仿宋_GB2312"/>
                      <w:sz w:val="21"/>
                    </w:rPr>
                    <w:t>10.支持ISAPI/ISUP 和 TAP/SIP协议、</w:t>
                  </w:r>
                </w:p>
                <w:p>
                  <w:pPr>
                    <w:pStyle w:val="null3"/>
                  </w:pPr>
                  <w:r>
                    <w:rPr>
                      <w:rFonts w:ascii="仿宋_GB2312" w:hAnsi="仿宋_GB2312" w:cs="仿宋_GB2312" w:eastAsia="仿宋_GB2312"/>
                      <w:sz w:val="21"/>
                    </w:rPr>
                    <w:t>11.分区管理：支持用户增删改分区操作；支持用户对分区增删广播点操作；分区支持用户权限管控。</w:t>
                  </w:r>
                  <w:r>
                    <w:br/>
                  </w:r>
                  <w:r>
                    <w:rPr>
                      <w:rFonts w:ascii="仿宋_GB2312" w:hAnsi="仿宋_GB2312" w:cs="仿宋_GB2312" w:eastAsia="仿宋_GB2312"/>
                      <w:sz w:val="21"/>
                    </w:rPr>
                    <w:t>12.媒体库管理：支持用户增删改媒体库目录；支持用户上传音频媒体文件，音频文件格式支持WAV/MP3；</w:t>
                  </w:r>
                  <w:r>
                    <w:br/>
                  </w:r>
                  <w:r>
                    <w:rPr>
                      <w:rFonts w:ascii="仿宋_GB2312" w:hAnsi="仿宋_GB2312" w:cs="仿宋_GB2312" w:eastAsia="仿宋_GB2312"/>
                      <w:sz w:val="21"/>
                    </w:rPr>
                    <w:t>13.包含≥60个广播音柱设备的接入</w:t>
                  </w:r>
                  <w:r>
                    <w:br/>
                  </w:r>
                  <w:r>
                    <w:rPr>
                      <w:rFonts w:ascii="仿宋_GB2312" w:hAnsi="仿宋_GB2312" w:cs="仿宋_GB2312" w:eastAsia="仿宋_GB2312"/>
                      <w:sz w:val="21"/>
                    </w:rPr>
                    <w:t>音频采集终端管理：</w:t>
                  </w:r>
                </w:p>
                <w:p>
                  <w:pPr>
                    <w:pStyle w:val="null3"/>
                  </w:pPr>
                  <w:r>
                    <w:rPr>
                      <w:rFonts w:ascii="仿宋_GB2312" w:hAnsi="仿宋_GB2312" w:cs="仿宋_GB2312" w:eastAsia="仿宋_GB2312"/>
                      <w:sz w:val="21"/>
                    </w:rPr>
                    <w:t>1.支持接入终端包含寻呼话筒、音频采集器、采集终端接入；</w:t>
                  </w:r>
                  <w:r>
                    <w:br/>
                  </w:r>
                  <w:r>
                    <w:rPr>
                      <w:rFonts w:ascii="仿宋_GB2312" w:hAnsi="仿宋_GB2312" w:cs="仿宋_GB2312" w:eastAsia="仿宋_GB2312"/>
                      <w:sz w:val="21"/>
                    </w:rPr>
                    <w:t>2.支持寻呼话筒和音频采集终端音频播放、广播喊话、及寻呼话筒和音频采集器预案广播。</w:t>
                  </w:r>
                  <w:r>
                    <w:br/>
                  </w:r>
                  <w:r>
                    <w:rPr>
                      <w:rFonts w:ascii="仿宋_GB2312" w:hAnsi="仿宋_GB2312" w:cs="仿宋_GB2312" w:eastAsia="仿宋_GB2312"/>
                      <w:sz w:val="21"/>
                    </w:rPr>
                    <w:t>3.支持接入音频采集终端≥200个</w:t>
                  </w:r>
                  <w:r>
                    <w:br/>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套</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40家企业500路以上摄像头接入及60个灾害点位视频监测接入服务及三年质保</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施工调测及技术服务费</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安装、调试、施工布线以及技术交付维护等及三年质保</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项</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物联网卡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物联网卡</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物联网流量</w:t>
                  </w:r>
                  <w:r>
                    <w:rPr>
                      <w:rFonts w:ascii="仿宋_GB2312" w:hAnsi="仿宋_GB2312" w:cs="仿宋_GB2312" w:eastAsia="仿宋_GB2312"/>
                      <w:sz w:val="21"/>
                    </w:rPr>
                    <w:t xml:space="preserve">   </w:t>
                  </w:r>
                  <w:r>
                    <w:rPr>
                      <w:rFonts w:ascii="仿宋_GB2312" w:hAnsi="仿宋_GB2312" w:cs="仿宋_GB2312" w:eastAsia="仿宋_GB2312"/>
                      <w:sz w:val="21"/>
                    </w:rPr>
                    <w:t>100G/月</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65</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张</w:t>
                  </w:r>
                </w:p>
              </w:tc>
            </w:tr>
          </w:tbl>
          <w:p>
            <w:pPr>
              <w:pStyle w:val="null3"/>
            </w:pPr>
            <w:r>
              <w:rPr>
                <w:rFonts w:ascii="仿宋_GB2312" w:hAnsi="仿宋_GB2312" w:cs="仿宋_GB2312" w:eastAsia="仿宋_GB2312"/>
              </w:rPr>
              <w:t>注：</w:t>
            </w:r>
            <w:r>
              <w:br/>
            </w:r>
            <w:r>
              <w:rPr>
                <w:rFonts w:ascii="仿宋_GB2312" w:hAnsi="仿宋_GB2312" w:cs="仿宋_GB2312" w:eastAsia="仿宋_GB2312"/>
              </w:rPr>
              <w:t xml:space="preserve"> 1.“★”参数不允许负偏离，需提供证明材料（包括但不限于检测报告，官网截图，产品彩页），未提供证明材料视为重大负偏离，按废标处理。</w:t>
            </w:r>
          </w:p>
        </w:tc>
      </w:tr>
    </w:tbl>
    <w:p>
      <w:pPr>
        <w:pStyle w:val="null3"/>
      </w:pPr>
      <w:r>
        <w:rPr>
          <w:rFonts w:ascii="仿宋_GB2312" w:hAnsi="仿宋_GB2312" w:cs="仿宋_GB2312" w:eastAsia="仿宋_GB2312"/>
        </w:rPr>
        <w:t>标的名称：侦察无人机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5"/>
              <w:gridCol w:w="205"/>
              <w:gridCol w:w="316"/>
              <w:gridCol w:w="1449"/>
              <w:gridCol w:w="173"/>
              <w:gridCol w:w="186"/>
            </w:tblGrid>
            <w:tr>
              <w:tc>
                <w:tcPr>
                  <w:tcW w:type="dxa" w:w="2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3</w:t>
                  </w:r>
                </w:p>
                <w:p>
                  <w:pPr>
                    <w:pStyle w:val="null3"/>
                  </w:pP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侦察无人机</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侦察无人机</w:t>
                  </w:r>
                </w:p>
              </w:tc>
              <w:tc>
                <w:tcPr>
                  <w:tcW w:type="dxa" w:w="1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无人机及配件参数：</w:t>
                  </w:r>
                </w:p>
                <w:p>
                  <w:pPr>
                    <w:pStyle w:val="null3"/>
                  </w:pPr>
                  <w:r>
                    <w:rPr>
                      <w:rFonts w:ascii="仿宋_GB2312" w:hAnsi="仿宋_GB2312" w:cs="仿宋_GB2312" w:eastAsia="仿宋_GB2312"/>
                      <w:sz w:val="21"/>
                    </w:rPr>
                    <w:t>1、夜景模式:支持全彩夜视、黑白夜视;</w:t>
                  </w:r>
                  <w:r>
                    <w:br/>
                  </w:r>
                  <w:r>
                    <w:rPr>
                      <w:rFonts w:ascii="仿宋_GB2312" w:hAnsi="仿宋_GB2312" w:cs="仿宋_GB2312" w:eastAsia="仿宋_GB2312"/>
                      <w:sz w:val="21"/>
                    </w:rPr>
                    <w:t>▲2、影像传感器有效像素:≥4800万;</w:t>
                  </w:r>
                  <w:r>
                    <w:br/>
                  </w:r>
                  <w:r>
                    <w:rPr>
                      <w:rFonts w:ascii="仿宋_GB2312" w:hAnsi="仿宋_GB2312" w:cs="仿宋_GB2312" w:eastAsia="仿宋_GB2312"/>
                      <w:sz w:val="21"/>
                    </w:rPr>
                    <w:t>▲3、最大抗风速:≥11m/s;</w:t>
                  </w:r>
                  <w:r>
                    <w:br/>
                  </w:r>
                  <w:r>
                    <w:rPr>
                      <w:rFonts w:ascii="仿宋_GB2312" w:hAnsi="仿宋_GB2312" w:cs="仿宋_GB2312" w:eastAsia="仿宋_GB2312"/>
                      <w:sz w:val="21"/>
                    </w:rPr>
                    <w:t>▲4、最长飞行时间:≥45分钟(常规桨叶);</w:t>
                  </w:r>
                  <w:r>
                    <w:br/>
                  </w:r>
                  <w:r>
                    <w:rPr>
                      <w:rFonts w:ascii="仿宋_GB2312" w:hAnsi="仿宋_GB2312" w:cs="仿宋_GB2312" w:eastAsia="仿宋_GB2312"/>
                      <w:sz w:val="21"/>
                    </w:rPr>
                    <w:t>5、热成像相机像元间距:≥12 微米;</w:t>
                  </w:r>
                  <w:r>
                    <w:br/>
                  </w:r>
                  <w:r>
                    <w:rPr>
                      <w:rFonts w:ascii="仿宋_GB2312" w:hAnsi="仿宋_GB2312" w:cs="仿宋_GB2312" w:eastAsia="仿宋_GB2312"/>
                      <w:sz w:val="21"/>
                    </w:rPr>
                    <w:t>6、热成像相机帧率:≥30 赫兹；</w:t>
                  </w:r>
                  <w:r>
                    <w:br/>
                  </w:r>
                  <w:r>
                    <w:rPr>
                      <w:rFonts w:ascii="仿宋_GB2312" w:hAnsi="仿宋_GB2312" w:cs="仿宋_GB2312" w:eastAsia="仿宋_GB2312"/>
                      <w:sz w:val="21"/>
                    </w:rPr>
                    <w:t>7、热成像相机镜头:DFOV:45°、等效焦距≥40毫米、光圈:f/1.0、对焦距离:不低于5 米至无穷远;</w:t>
                  </w:r>
                  <w:r>
                    <w:br/>
                  </w:r>
                  <w:r>
                    <w:rPr>
                      <w:rFonts w:ascii="仿宋_GB2312" w:hAnsi="仿宋_GB2312" w:cs="仿宋_GB2312" w:eastAsia="仿宋_GB2312"/>
                      <w:sz w:val="21"/>
                    </w:rPr>
                    <w:t>8、热成像相机数字变焦:≥28 倍;</w:t>
                  </w:r>
                  <w:r>
                    <w:br/>
                  </w:r>
                  <w:r>
                    <w:rPr>
                      <w:rFonts w:ascii="仿宋_GB2312" w:hAnsi="仿宋_GB2312" w:cs="仿宋_GB2312" w:eastAsia="仿宋_GB2312"/>
                      <w:sz w:val="21"/>
                    </w:rPr>
                    <w:t>9、云台最大控制转速(俯仰):≥100°/s;</w:t>
                  </w:r>
                  <w:r>
                    <w:br/>
                  </w:r>
                  <w:r>
                    <w:rPr>
                      <w:rFonts w:ascii="仿宋_GB2312" w:hAnsi="仿宋_GB2312" w:cs="仿宋_GB2312" w:eastAsia="仿宋_GB2312"/>
                      <w:sz w:val="21"/>
                    </w:rPr>
                    <w:t>10、最大水平飞行速度(海平面附近无风):≥20m/s;</w:t>
                  </w:r>
                  <w:r>
                    <w:br/>
                  </w:r>
                  <w:r>
                    <w:rPr>
                      <w:rFonts w:ascii="仿宋_GB2312" w:hAnsi="仿宋_GB2312" w:cs="仿宋_GB2312" w:eastAsia="仿宋_GB2312"/>
                      <w:sz w:val="21"/>
                    </w:rPr>
                    <w:t>11、最大起飞海拔高度:≥5000 米;</w:t>
                  </w:r>
                  <w:r>
                    <w:br/>
                  </w:r>
                  <w:r>
                    <w:rPr>
                      <w:rFonts w:ascii="仿宋_GB2312" w:hAnsi="仿宋_GB2312" w:cs="仿宋_GB2312" w:eastAsia="仿宋_GB2312"/>
                      <w:sz w:val="21"/>
                    </w:rPr>
                    <w:t>12、RTK 位置精度:RTK 固定解时，水平:≤1cm +1 ppm;垂直: ≤1.5 cm+1ppm；</w:t>
                  </w:r>
                  <w:r>
                    <w:br/>
                  </w:r>
                  <w:r>
                    <w:rPr>
                      <w:rFonts w:ascii="仿宋_GB2312" w:hAnsi="仿宋_GB2312" w:cs="仿宋_GB2312" w:eastAsia="仿宋_GB2312"/>
                      <w:sz w:val="21"/>
                    </w:rPr>
                    <w:t>13、内存卡容量 ≥ 512GB，类型  TF(Micro SD)卡，速度  V30，A2，U3，读取速度  190MB/s</w:t>
                  </w:r>
                  <w:r>
                    <w:br/>
                  </w:r>
                  <w:r>
                    <w:rPr>
                      <w:rFonts w:ascii="仿宋_GB2312" w:hAnsi="仿宋_GB2312" w:cs="仿宋_GB2312" w:eastAsia="仿宋_GB2312"/>
                      <w:sz w:val="21"/>
                    </w:rPr>
                    <w:t>14.无线网络增强图传模块:在原有图传的基础上,与无线网络网络共同协作,如原有图传信号受 遮挡或干扰,用户仍可借助无线网络网络操控无人机,降低断开连接的几率</w:t>
                  </w:r>
                  <w:r>
                    <w:br/>
                  </w:r>
                  <w:r>
                    <w:rPr>
                      <w:rFonts w:ascii="仿宋_GB2312" w:hAnsi="仿宋_GB2312" w:cs="仿宋_GB2312" w:eastAsia="仿宋_GB2312"/>
                      <w:sz w:val="21"/>
                    </w:rPr>
                    <w:t>15.探照灯：重量≤100克（含支架），功率≥30瓦，有效照明面积≥1200平方米@100 米（10% 相对照度，普通模式）工作方式支持常亮、爆闪。工作环境温度不低于-20℃ 至 50℃</w:t>
                  </w:r>
                  <w:r>
                    <w:br/>
                  </w:r>
                  <w:r>
                    <w:rPr>
                      <w:rFonts w:ascii="仿宋_GB2312" w:hAnsi="仿宋_GB2312" w:cs="仿宋_GB2312" w:eastAsia="仿宋_GB2312"/>
                      <w:sz w:val="21"/>
                    </w:rPr>
                    <w:t>16.喊话器：重量≤100 克（含支架），功率≥15瓦，最大响度≥100dB@1m。有效广播距离≥300 米。广播方式支持实时喊话（支持回声啸叫抑制）、录音喊话、媒体导入（支持边传边播）、文字转语音</w:t>
                  </w:r>
                  <w:r>
                    <w:br/>
                  </w:r>
                  <w:r>
                    <w:rPr>
                      <w:rFonts w:ascii="仿宋_GB2312" w:hAnsi="仿宋_GB2312" w:cs="仿宋_GB2312" w:eastAsia="仿宋_GB2312"/>
                      <w:sz w:val="21"/>
                    </w:rPr>
                    <w:t>17、除原装电池外，增加两块备用原厂电池。容量≥6500毫安时</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侦察无人机培训及三年保险服务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CAAC培训及三年保险服务</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CAAC培训拿证、小型视距内（驾驶员）及3年保险服务</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项</w:t>
                  </w:r>
                </w:p>
              </w:tc>
            </w:tr>
          </w:tbl>
          <w:p>
            <w:pPr>
              <w:pStyle w:val="null3"/>
            </w:pPr>
            <w:r>
              <w:rPr>
                <w:rFonts w:ascii="仿宋_GB2312" w:hAnsi="仿宋_GB2312" w:cs="仿宋_GB2312" w:eastAsia="仿宋_GB2312"/>
              </w:rPr>
              <w:t>注：</w:t>
            </w:r>
            <w:r>
              <w:br/>
            </w:r>
            <w:r>
              <w:rPr>
                <w:rFonts w:ascii="仿宋_GB2312" w:hAnsi="仿宋_GB2312" w:cs="仿宋_GB2312" w:eastAsia="仿宋_GB2312"/>
              </w:rPr>
              <w:t xml:space="preserve"> 1.“★”参数不允许负偏离，需提供证明材料（包括但不限于检测报告，官网截图，产品彩页），未提供证明材料视为重大负偏离，按废标处理。</w:t>
            </w:r>
          </w:p>
        </w:tc>
      </w:tr>
    </w:tbl>
    <w:p>
      <w:pPr>
        <w:pStyle w:val="null3"/>
      </w:pPr>
      <w:r>
        <w:rPr>
          <w:rFonts w:ascii="仿宋_GB2312" w:hAnsi="仿宋_GB2312" w:cs="仿宋_GB2312" w:eastAsia="仿宋_GB2312"/>
        </w:rPr>
        <w:t>标的名称：卫星通信设备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5"/>
              <w:gridCol w:w="205"/>
              <w:gridCol w:w="316"/>
              <w:gridCol w:w="1449"/>
              <w:gridCol w:w="173"/>
              <w:gridCol w:w="186"/>
            </w:tblGrid>
            <w:tr>
              <w:tc>
                <w:tcPr>
                  <w:tcW w:type="dxa" w:w="22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4</w:t>
                  </w:r>
                </w:p>
                <w:p>
                  <w:pPr>
                    <w:pStyle w:val="null3"/>
                  </w:pPr>
                </w:p>
              </w:tc>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卫星通信设备</w:t>
                  </w:r>
                </w:p>
              </w:tc>
              <w:tc>
                <w:tcPr>
                  <w:tcW w:type="dxa" w:w="3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卫星便携站</w:t>
                  </w:r>
                </w:p>
              </w:tc>
              <w:tc>
                <w:tcPr>
                  <w:tcW w:type="dxa" w:w="1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br/>
                  </w:r>
                  <w:r>
                    <w:rPr>
                      <w:rFonts w:ascii="仿宋_GB2312" w:hAnsi="仿宋_GB2312" w:cs="仿宋_GB2312" w:eastAsia="仿宋_GB2312"/>
                      <w:sz w:val="21"/>
                    </w:rPr>
                    <w:t>1</w:t>
                  </w:r>
                  <w:r>
                    <w:rPr>
                      <w:rFonts w:ascii="仿宋_GB2312" w:hAnsi="仿宋_GB2312" w:cs="仿宋_GB2312" w:eastAsia="仿宋_GB2312"/>
                      <w:sz w:val="21"/>
                    </w:rPr>
                    <w:t>.接入模式：可接入亚太6D国产高通量平台及应急管理部国产化卫星通信系统；</w:t>
                  </w:r>
                  <w:r>
                    <w:br/>
                  </w:r>
                  <w:r>
                    <w:rPr>
                      <w:rFonts w:ascii="仿宋_GB2312" w:hAnsi="仿宋_GB2312" w:cs="仿宋_GB2312" w:eastAsia="仿宋_GB2312"/>
                      <w:sz w:val="21"/>
                    </w:rPr>
                    <w:t>2</w:t>
                  </w:r>
                  <w:r>
                    <w:rPr>
                      <w:rFonts w:ascii="仿宋_GB2312" w:hAnsi="仿宋_GB2312" w:cs="仿宋_GB2312" w:eastAsia="仿宋_GB2312"/>
                      <w:sz w:val="21"/>
                    </w:rPr>
                    <w:t xml:space="preserve">.操作方式：支持一键对星、一键切换双模通信模式； </w:t>
                  </w:r>
                  <w:r>
                    <w:br/>
                  </w:r>
                  <w:r>
                    <w:rPr>
                      <w:rFonts w:ascii="仿宋_GB2312" w:hAnsi="仿宋_GB2312" w:cs="仿宋_GB2312" w:eastAsia="仿宋_GB2312"/>
                      <w:sz w:val="21"/>
                    </w:rPr>
                    <w:t>3</w:t>
                  </w:r>
                  <w:r>
                    <w:rPr>
                      <w:rFonts w:ascii="仿宋_GB2312" w:hAnsi="仿宋_GB2312" w:cs="仿宋_GB2312" w:eastAsia="仿宋_GB2312"/>
                      <w:sz w:val="21"/>
                    </w:rPr>
                    <w:t>.天线类型：配置0.6米/0.45米可调抛物面天线，可根据现场信号质量进行灵活选择；</w:t>
                  </w:r>
                  <w:r>
                    <w:br/>
                  </w:r>
                  <w:r>
                    <w:rPr>
                      <w:rFonts w:ascii="仿宋_GB2312" w:hAnsi="仿宋_GB2312" w:cs="仿宋_GB2312" w:eastAsia="仿宋_GB2312"/>
                      <w:sz w:val="21"/>
                    </w:rPr>
                    <w:t>4</w:t>
                  </w:r>
                  <w:r>
                    <w:rPr>
                      <w:rFonts w:ascii="仿宋_GB2312" w:hAnsi="仿宋_GB2312" w:cs="仿宋_GB2312" w:eastAsia="仿宋_GB2312"/>
                      <w:sz w:val="21"/>
                    </w:rPr>
                    <w:t>.工作频率：10.7～12.75GHz（接收）；13.75～14.5GHz（发射）；</w:t>
                  </w:r>
                  <w:r>
                    <w:br/>
                  </w:r>
                  <w:r>
                    <w:rPr>
                      <w:rFonts w:ascii="仿宋_GB2312" w:hAnsi="仿宋_GB2312" w:cs="仿宋_GB2312" w:eastAsia="仿宋_GB2312"/>
                      <w:sz w:val="21"/>
                    </w:rPr>
                    <w:t>5</w:t>
                  </w:r>
                  <w:r>
                    <w:rPr>
                      <w:rFonts w:ascii="仿宋_GB2312" w:hAnsi="仿宋_GB2312" w:cs="仿宋_GB2312" w:eastAsia="仿宋_GB2312"/>
                      <w:sz w:val="21"/>
                    </w:rPr>
                    <w:t>.通信能力：高通量模式支持上行≥5Mbps，下行≥10Mbps，专网模式支持上下行≥2Mbps；双网口</w:t>
                  </w:r>
                  <w:r>
                    <w:br/>
                  </w:r>
                  <w:r>
                    <w:rPr>
                      <w:rFonts w:ascii="仿宋_GB2312" w:hAnsi="仿宋_GB2312" w:cs="仿宋_GB2312" w:eastAsia="仿宋_GB2312"/>
                      <w:sz w:val="21"/>
                    </w:rPr>
                    <w:t>6</w:t>
                  </w:r>
                  <w:r>
                    <w:rPr>
                      <w:rFonts w:ascii="仿宋_GB2312" w:hAnsi="仿宋_GB2312" w:cs="仿宋_GB2312" w:eastAsia="仿宋_GB2312"/>
                      <w:sz w:val="21"/>
                    </w:rPr>
                    <w:t xml:space="preserve">.辅助功能：支持语音播报，语音告警，语音辅助功能； </w:t>
                  </w:r>
                  <w:r>
                    <w:br/>
                  </w:r>
                  <w:r>
                    <w:rPr>
                      <w:rFonts w:ascii="仿宋_GB2312" w:hAnsi="仿宋_GB2312" w:cs="仿宋_GB2312" w:eastAsia="仿宋_GB2312"/>
                      <w:sz w:val="21"/>
                    </w:rPr>
                    <w:t>7</w:t>
                  </w:r>
                  <w:r>
                    <w:rPr>
                      <w:rFonts w:ascii="仿宋_GB2312" w:hAnsi="仿宋_GB2312" w:cs="仿宋_GB2312" w:eastAsia="仿宋_GB2312"/>
                      <w:sz w:val="21"/>
                    </w:rPr>
                    <w:t>.对星时间：≤2分钟；</w:t>
                  </w:r>
                  <w:r>
                    <w:br/>
                  </w:r>
                  <w:r>
                    <w:rPr>
                      <w:rFonts w:ascii="仿宋_GB2312" w:hAnsi="仿宋_GB2312" w:cs="仿宋_GB2312" w:eastAsia="仿宋_GB2312"/>
                      <w:sz w:val="21"/>
                    </w:rPr>
                    <w:t>8</w:t>
                  </w:r>
                  <w:r>
                    <w:rPr>
                      <w:rFonts w:ascii="仿宋_GB2312" w:hAnsi="仿宋_GB2312" w:cs="仿宋_GB2312" w:eastAsia="仿宋_GB2312"/>
                      <w:sz w:val="21"/>
                    </w:rPr>
                    <w:t>.▲定位方式/位置信息上报：支持卫星定位定位模式，符合北斗规模应用要求；</w:t>
                  </w:r>
                  <w:r>
                    <w:br/>
                  </w:r>
                  <w:r>
                    <w:rPr>
                      <w:rFonts w:ascii="仿宋_GB2312" w:hAnsi="仿宋_GB2312" w:cs="仿宋_GB2312" w:eastAsia="仿宋_GB2312"/>
                      <w:sz w:val="21"/>
                    </w:rPr>
                    <w:t>9</w:t>
                  </w:r>
                  <w:r>
                    <w:rPr>
                      <w:rFonts w:ascii="仿宋_GB2312" w:hAnsi="仿宋_GB2312" w:cs="仿宋_GB2312" w:eastAsia="仿宋_GB2312"/>
                      <w:sz w:val="21"/>
                    </w:rPr>
                    <w:t>.整机功耗（典型值）：≤65W；</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.电池供电工作时长：≥2.5小时；</w:t>
                  </w:r>
                  <w:r>
                    <w:br/>
                  </w: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.设备尺寸：≤550mm*380mm*150mm；</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.设备净重：≤10kg；</w:t>
                  </w:r>
                  <w:r>
                    <w:br/>
                  </w:r>
                  <w:r>
                    <w:rPr>
                      <w:rFonts w:ascii="仿宋_GB2312" w:hAnsi="仿宋_GB2312" w:cs="仿宋_GB2312" w:eastAsia="仿宋_GB2312"/>
                      <w:sz w:val="21"/>
                    </w:rPr>
                    <w:t>1</w:t>
                  </w:r>
                  <w:r>
                    <w:rPr>
                      <w:rFonts w:ascii="仿宋_GB2312" w:hAnsi="仿宋_GB2312" w:cs="仿宋_GB2312" w:eastAsia="仿宋_GB2312"/>
                      <w:sz w:val="21"/>
                    </w:rPr>
                    <w:t>3</w:t>
                  </w:r>
                  <w:r>
                    <w:rPr>
                      <w:rFonts w:ascii="仿宋_GB2312" w:hAnsi="仿宋_GB2312" w:cs="仿宋_GB2312" w:eastAsia="仿宋_GB2312"/>
                      <w:sz w:val="21"/>
                    </w:rPr>
                    <w:t>.▲提供由国家工信部批发的针对本设备的《电信设备进网试用批文》；</w:t>
                  </w:r>
                  <w:r>
                    <w:br/>
                  </w:r>
                  <w:r>
                    <w:rPr>
                      <w:rFonts w:ascii="仿宋_GB2312" w:hAnsi="仿宋_GB2312" w:cs="仿宋_GB2312" w:eastAsia="仿宋_GB2312"/>
                      <w:sz w:val="21"/>
                    </w:rPr>
                    <w:t>1</w:t>
                  </w:r>
                  <w:r>
                    <w:rPr>
                      <w:rFonts w:ascii="仿宋_GB2312" w:hAnsi="仿宋_GB2312" w:cs="仿宋_GB2312" w:eastAsia="仿宋_GB2312"/>
                      <w:sz w:val="21"/>
                    </w:rPr>
                    <w:t>4</w:t>
                  </w:r>
                  <w:r>
                    <w:rPr>
                      <w:rFonts w:ascii="仿宋_GB2312" w:hAnsi="仿宋_GB2312" w:cs="仿宋_GB2312" w:eastAsia="仿宋_GB2312"/>
                      <w:sz w:val="21"/>
                    </w:rPr>
                    <w:t>.▲为应对跨区域救援时的航空运输管理规定，投标产品须提供有效的《航空运输危险性鉴别报告》及《海运运输危险性鉴别报告》。</w:t>
                  </w:r>
                  <w:r>
                    <w:br/>
                  </w:r>
                  <w:r>
                    <w:rPr>
                      <w:rFonts w:ascii="仿宋_GB2312" w:hAnsi="仿宋_GB2312" w:cs="仿宋_GB2312" w:eastAsia="仿宋_GB2312"/>
                      <w:sz w:val="21"/>
                    </w:rPr>
                    <w:t>1</w:t>
                  </w:r>
                  <w:r>
                    <w:rPr>
                      <w:rFonts w:ascii="仿宋_GB2312" w:hAnsi="仿宋_GB2312" w:cs="仿宋_GB2312" w:eastAsia="仿宋_GB2312"/>
                      <w:sz w:val="21"/>
                    </w:rPr>
                    <w:t>5</w:t>
                  </w:r>
                  <w:r>
                    <w:rPr>
                      <w:rFonts w:ascii="仿宋_GB2312" w:hAnsi="仿宋_GB2312" w:cs="仿宋_GB2312" w:eastAsia="仿宋_GB2312"/>
                      <w:sz w:val="21"/>
                    </w:rPr>
                    <w:t>.远程管理：支持同一用户账号下相同品牌卫星终端的集中管理，便于用户统一管理；</w:t>
                  </w:r>
                  <w:r>
                    <w:br/>
                  </w:r>
                  <w:r>
                    <w:rPr>
                      <w:rFonts w:ascii="仿宋_GB2312" w:hAnsi="仿宋_GB2312" w:cs="仿宋_GB2312" w:eastAsia="仿宋_GB2312"/>
                      <w:sz w:val="21"/>
                    </w:rPr>
                    <w:t>1</w:t>
                  </w:r>
                  <w:r>
                    <w:rPr>
                      <w:rFonts w:ascii="仿宋_GB2312" w:hAnsi="仿宋_GB2312" w:cs="仿宋_GB2312" w:eastAsia="仿宋_GB2312"/>
                      <w:sz w:val="21"/>
                    </w:rPr>
                    <w:t>6</w:t>
                  </w:r>
                  <w:r>
                    <w:rPr>
                      <w:rFonts w:ascii="仿宋_GB2312" w:hAnsi="仿宋_GB2312" w:cs="仿宋_GB2312" w:eastAsia="仿宋_GB2312"/>
                      <w:sz w:val="21"/>
                    </w:rPr>
                    <w:t>.远程监测:支持远程监测终端实时使用状态，包括但不限于流量使用情况、电池电量信息、实时速率、定位信息等；</w:t>
                  </w:r>
                  <w:r>
                    <w:br/>
                  </w:r>
                  <w:r>
                    <w:rPr>
                      <w:rFonts w:ascii="仿宋_GB2312" w:hAnsi="仿宋_GB2312" w:cs="仿宋_GB2312" w:eastAsia="仿宋_GB2312"/>
                      <w:sz w:val="21"/>
                    </w:rPr>
                    <w:t>1</w:t>
                  </w:r>
                  <w:r>
                    <w:rPr>
                      <w:rFonts w:ascii="仿宋_GB2312" w:hAnsi="仿宋_GB2312" w:cs="仿宋_GB2312" w:eastAsia="仿宋_GB2312"/>
                      <w:sz w:val="21"/>
                    </w:rPr>
                    <w:t>7</w:t>
                  </w:r>
                  <w:r>
                    <w:rPr>
                      <w:rFonts w:ascii="仿宋_GB2312" w:hAnsi="仿宋_GB2312" w:cs="仿宋_GB2312" w:eastAsia="仿宋_GB2312"/>
                      <w:sz w:val="21"/>
                    </w:rPr>
                    <w:t>.日志管理:支持日志功能，可查看设备的位置变化，设备电量状态变化、流量变化等信息；</w:t>
                  </w:r>
                  <w:r>
                    <w:br/>
                  </w:r>
                  <w:r>
                    <w:rPr>
                      <w:rFonts w:ascii="仿宋_GB2312" w:hAnsi="仿宋_GB2312" w:cs="仿宋_GB2312" w:eastAsia="仿宋_GB2312"/>
                      <w:sz w:val="21"/>
                    </w:rPr>
                    <w:t>1</w:t>
                  </w:r>
                  <w:r>
                    <w:rPr>
                      <w:rFonts w:ascii="仿宋_GB2312" w:hAnsi="仿宋_GB2312" w:cs="仿宋_GB2312" w:eastAsia="仿宋_GB2312"/>
                      <w:sz w:val="21"/>
                    </w:rPr>
                    <w:t>8</w:t>
                  </w:r>
                  <w:r>
                    <w:rPr>
                      <w:rFonts w:ascii="仿宋_GB2312" w:hAnsi="仿宋_GB2312" w:cs="仿宋_GB2312" w:eastAsia="仿宋_GB2312"/>
                      <w:sz w:val="21"/>
                    </w:rPr>
                    <w:t>.告警功能：支持多种预警提醒功能，包括但不限于：设备故障告警、设备离线告警等;</w:t>
                  </w:r>
                  <w:r>
                    <w:br/>
                  </w:r>
                  <w:r>
                    <w:rPr>
                      <w:rFonts w:ascii="仿宋_GB2312" w:hAnsi="仿宋_GB2312" w:cs="仿宋_GB2312" w:eastAsia="仿宋_GB2312"/>
                      <w:sz w:val="21"/>
                    </w:rPr>
                    <w:t>19</w:t>
                  </w:r>
                  <w:r>
                    <w:rPr>
                      <w:rFonts w:ascii="仿宋_GB2312" w:hAnsi="仿宋_GB2312" w:cs="仿宋_GB2312" w:eastAsia="仿宋_GB2312"/>
                      <w:sz w:val="21"/>
                    </w:rPr>
                    <w:t>.外设支持:支持其他种类设备接入卫星终端后的数据管理,可远程实时拉取终端侧音视频等业务数据。</w:t>
                  </w:r>
                </w:p>
              </w:tc>
              <w:tc>
                <w:tcPr>
                  <w:tcW w:type="dxa" w:w="1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三网通</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便携式三网通基站招标参数</w:t>
                  </w:r>
                  <w:r>
                    <w:br/>
                  </w:r>
                  <w:r>
                    <w:rPr>
                      <w:rFonts w:ascii="仿宋_GB2312" w:hAnsi="仿宋_GB2312" w:cs="仿宋_GB2312" w:eastAsia="仿宋_GB2312"/>
                      <w:sz w:val="21"/>
                    </w:rPr>
                    <w:t>1、LTE背负式基站。</w:t>
                  </w:r>
                  <w:r>
                    <w:br/>
                  </w:r>
                  <w:r>
                    <w:rPr>
                      <w:rFonts w:ascii="仿宋_GB2312" w:hAnsi="仿宋_GB2312" w:cs="仿宋_GB2312" w:eastAsia="仿宋_GB2312"/>
                      <w:sz w:val="21"/>
                    </w:rPr>
                    <w:t>2、信道带宽：Band 1+Band 3 20MHz.</w:t>
                  </w:r>
                  <w:r>
                    <w:br/>
                  </w:r>
                  <w:r>
                    <w:rPr>
                      <w:rFonts w:ascii="仿宋_GB2312" w:hAnsi="仿宋_GB2312" w:cs="仿宋_GB2312" w:eastAsia="仿宋_GB2312"/>
                      <w:sz w:val="21"/>
                    </w:rPr>
                    <w:t>3、基站接入核心网，支持移动、电信、联通4G接入，提供语音/数据/短信业务服务。</w:t>
                  </w:r>
                </w:p>
                <w:p>
                  <w:pPr>
                    <w:pStyle w:val="null3"/>
                  </w:pPr>
                  <w:r>
                    <w:rPr>
                      <w:rFonts w:ascii="仿宋_GB2312" w:hAnsi="仿宋_GB2312" w:cs="仿宋_GB2312" w:eastAsia="仿宋_GB2312"/>
                      <w:sz w:val="21"/>
                    </w:rPr>
                    <w:t>4、配合卫星便携站使用，用于地面移动网络瘫痪时，现场基站应急接续。</w:t>
                  </w:r>
                  <w:r>
                    <w:br/>
                  </w:r>
                  <w:r>
                    <w:rPr>
                      <w:rFonts w:ascii="仿宋_GB2312" w:hAnsi="仿宋_GB2312" w:cs="仿宋_GB2312" w:eastAsia="仿宋_GB2312"/>
                      <w:sz w:val="21"/>
                    </w:rPr>
                    <w:t>5、开通方式：开机并接入卫星网络后，基站自动激活。</w:t>
                  </w:r>
                  <w:r>
                    <w:br/>
                  </w:r>
                  <w:r>
                    <w:rPr>
                      <w:rFonts w:ascii="仿宋_GB2312" w:hAnsi="仿宋_GB2312" w:cs="仿宋_GB2312" w:eastAsia="仿宋_GB2312"/>
                      <w:sz w:val="21"/>
                    </w:rPr>
                    <w:t>6、供电方式：锂电池供电和电源适配器（220V AC）。</w:t>
                  </w:r>
                  <w:r>
                    <w:br/>
                  </w:r>
                  <w:r>
                    <w:rPr>
                      <w:rFonts w:ascii="仿宋_GB2312" w:hAnsi="仿宋_GB2312" w:cs="仿宋_GB2312" w:eastAsia="仿宋_GB2312"/>
                      <w:sz w:val="21"/>
                    </w:rPr>
                    <w:t>7、传输距离：理论直径≥100m。</w:t>
                  </w:r>
                  <w:r>
                    <w:br/>
                  </w:r>
                  <w:r>
                    <w:rPr>
                      <w:rFonts w:ascii="仿宋_GB2312" w:hAnsi="仿宋_GB2312" w:cs="仿宋_GB2312" w:eastAsia="仿宋_GB2312"/>
                      <w:sz w:val="21"/>
                    </w:rPr>
                    <w:t>8、业务能力：VoLTE用户≥64。</w:t>
                  </w:r>
                </w:p>
                <w:p>
                  <w:pPr>
                    <w:pStyle w:val="null3"/>
                  </w:pPr>
                  <w:r>
                    <w:rPr>
                      <w:rFonts w:ascii="仿宋_GB2312" w:hAnsi="仿宋_GB2312" w:cs="仿宋_GB2312" w:eastAsia="仿宋_GB2312"/>
                      <w:sz w:val="21"/>
                    </w:rPr>
                    <w:t>9、电量显示：带指示灯，实时显示电池电量。</w:t>
                  </w:r>
                  <w:r>
                    <w:br/>
                  </w:r>
                  <w:r>
                    <w:rPr>
                      <w:rFonts w:ascii="仿宋_GB2312" w:hAnsi="仿宋_GB2312" w:cs="仿宋_GB2312" w:eastAsia="仿宋_GB2312"/>
                      <w:sz w:val="21"/>
                    </w:rPr>
                    <w:t>10、接口：星网输入：千兆以太网WAN口，用于接入卫星网络 ；GPS接入口：接GPS天线，为皮基站授时；N头天线接口×2：外接两根4G玻璃钢天线。</w:t>
                  </w:r>
                  <w:r>
                    <w:br/>
                  </w:r>
                  <w:r>
                    <w:rPr>
                      <w:rFonts w:ascii="仿宋_GB2312" w:hAnsi="仿宋_GB2312" w:cs="仿宋_GB2312" w:eastAsia="仿宋_GB2312"/>
                      <w:sz w:val="21"/>
                    </w:rPr>
                    <w:t>11、工作时长：≥6小时。</w:t>
                  </w:r>
                  <w:r>
                    <w:br/>
                  </w:r>
                  <w:r>
                    <w:rPr>
                      <w:rFonts w:ascii="仿宋_GB2312" w:hAnsi="仿宋_GB2312" w:cs="仿宋_GB2312" w:eastAsia="仿宋_GB2312"/>
                      <w:sz w:val="21"/>
                    </w:rPr>
                    <w:t>12、外形尺寸：≤360mm*280mm*100mm。（不含天线和支撑腿）</w:t>
                  </w:r>
                  <w:r>
                    <w:br/>
                  </w:r>
                  <w:r>
                    <w:rPr>
                      <w:rFonts w:ascii="仿宋_GB2312" w:hAnsi="仿宋_GB2312" w:cs="仿宋_GB2312" w:eastAsia="仿宋_GB2312"/>
                      <w:sz w:val="21"/>
                    </w:rPr>
                    <w:t>13、重量：≤6kg。</w:t>
                  </w:r>
                  <w:r>
                    <w:br/>
                  </w:r>
                  <w:r>
                    <w:rPr>
                      <w:rFonts w:ascii="仿宋_GB2312" w:hAnsi="仿宋_GB2312" w:cs="仿宋_GB2312" w:eastAsia="仿宋_GB2312"/>
                      <w:sz w:val="21"/>
                    </w:rPr>
                    <w:t>14、防护等级：≥IP66。</w:t>
                  </w:r>
                  <w:r>
                    <w:br/>
                  </w:r>
                  <w:r>
                    <w:rPr>
                      <w:rFonts w:ascii="仿宋_GB2312" w:hAnsi="仿宋_GB2312" w:cs="仿宋_GB2312" w:eastAsia="仿宋_GB2312"/>
                      <w:sz w:val="21"/>
                    </w:rPr>
                    <w:t>15、工作温度：不劣于-20℃～+45℃。</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个</w:t>
                  </w:r>
                </w:p>
              </w:tc>
            </w:tr>
            <w:tr>
              <w:tc>
                <w:tcPr>
                  <w:tcW w:type="dxa" w:w="225"/>
                  <w:vMerge/>
                  <w:tcBorders>
                    <w:top w:val="single" w:color="000000" w:sz="4"/>
                    <w:left w:val="single" w:color="000000" w:sz="4"/>
                    <w:bottom w:val="single" w:color="000000" w:sz="4"/>
                    <w:right w:val="single" w:color="000000" w:sz="4"/>
                  </w:tcBorders>
                </w:tcPr>
                <w:p/>
              </w:tc>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卫星通信设备技术服务</w:t>
                  </w:r>
                </w:p>
              </w:tc>
              <w:tc>
                <w:tcPr>
                  <w:tcW w:type="dxa" w:w="3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卫星便捷站及三网通质保服务</w:t>
                  </w:r>
                </w:p>
              </w:tc>
              <w:tc>
                <w:tcPr>
                  <w:tcW w:type="dxa" w:w="1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三年质保服务及卫星流量资费（开户）</w:t>
                  </w:r>
                </w:p>
              </w:tc>
              <w:tc>
                <w:tcPr>
                  <w:tcW w:type="dxa" w:w="1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项</w:t>
                  </w:r>
                </w:p>
              </w:tc>
            </w:tr>
          </w:tbl>
          <w:p>
            <w:pPr>
              <w:pStyle w:val="null3"/>
            </w:pPr>
            <w:r>
              <w:rPr>
                <w:rFonts w:ascii="仿宋_GB2312" w:hAnsi="仿宋_GB2312" w:cs="仿宋_GB2312" w:eastAsia="仿宋_GB2312"/>
                <w:sz w:val="21"/>
                <w:b/>
              </w:rPr>
              <w:t>注</w:t>
            </w:r>
            <w:r>
              <w:rPr>
                <w:rFonts w:ascii="仿宋_GB2312" w:hAnsi="仿宋_GB2312" w:cs="仿宋_GB2312" w:eastAsia="仿宋_GB2312"/>
                <w:sz w:val="21"/>
                <w:b/>
              </w:rPr>
              <w:t>：</w:t>
            </w:r>
          </w:p>
          <w:p>
            <w:pPr>
              <w:pStyle w:val="null3"/>
              <w:numPr>
                <w:ilvl w:val="0"/>
                <w:numId w:val="1"/>
              </w:numPr>
            </w:pPr>
            <w:r>
              <w:rPr>
                <w:rFonts w:ascii="仿宋_GB2312" w:hAnsi="仿宋_GB2312" w:cs="仿宋_GB2312" w:eastAsia="仿宋_GB2312"/>
                <w:sz w:val="21"/>
                <w:b/>
              </w:rPr>
              <w:t>核心产品：卫星便携站</w:t>
            </w:r>
          </w:p>
          <w:p>
            <w:pPr>
              <w:pStyle w:val="null3"/>
              <w:numPr>
                <w:ilvl w:val="0"/>
                <w:numId w:val="1"/>
              </w:numPr>
            </w:pPr>
            <w:r>
              <w:rPr>
                <w:rFonts w:ascii="仿宋_GB2312" w:hAnsi="仿宋_GB2312" w:cs="仿宋_GB2312" w:eastAsia="仿宋_GB2312"/>
                <w:sz w:val="21"/>
                <w:b/>
              </w:rPr>
              <w:t>“★”参数不允许负偏离，需</w:t>
            </w:r>
            <w:r>
              <w:rPr>
                <w:rFonts w:ascii="仿宋_GB2312" w:hAnsi="仿宋_GB2312" w:cs="仿宋_GB2312" w:eastAsia="仿宋_GB2312"/>
                <w:sz w:val="21"/>
                <w:b/>
              </w:rPr>
              <w:t>提供证明材料（包括但不限于检测报告，官网截图，产品彩页），未提供证明材料视为重大负偏离，按废标处理。</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合同签订后120天交付完成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进度款，供货安装，达到付款条件起15个工作日内，支付合同总金额的30.0%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进度款，项目建设完成并验收合格后，达到付款条件起15个工作日内，支付合同总金额的30.0%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满足采购人和招标文件要求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硬件质保三年，运维服务周期一年（起算时间均以项目最终验收合格之日为准）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满足采购人和招标文件要求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八、资格证明文件.docx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三、分项报价表.docx 八、资格证明文件.docx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供应商为合法注册的法人或其他组织供应商具有独立承担民事责任能力的法人、其他组织或自然人，并出具合法有效的营业执照或事业单位法人证书等国家规定的相关证明，自然人参与的提供其身份证明；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八、资格证明文件.docx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法定代表人（主要负责人）授权委托书及被授权人身份证明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w:t>
            </w:r>
          </w:p>
        </w:tc>
        <w:tc>
          <w:tcPr>
            <w:tcW w:type="dxa" w:w="1661"/>
          </w:tcPr>
          <w:p>
            <w:pPr>
              <w:pStyle w:val="null3"/>
            </w:pPr>
            <w:r>
              <w:rPr>
                <w:rFonts w:ascii="仿宋_GB2312" w:hAnsi="仿宋_GB2312" w:cs="仿宋_GB2312" w:eastAsia="仿宋_GB2312"/>
              </w:rPr>
              <w:t>八、资格证明文件.docx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设备和专业技术能力的说明及承诺</w:t>
            </w:r>
          </w:p>
        </w:tc>
        <w:tc>
          <w:tcPr>
            <w:tcW w:type="dxa" w:w="3322"/>
          </w:tcPr>
          <w:p>
            <w:pPr>
              <w:pStyle w:val="null3"/>
            </w:pPr>
            <w:r>
              <w:rPr>
                <w:rFonts w:ascii="仿宋_GB2312" w:hAnsi="仿宋_GB2312" w:cs="仿宋_GB2312" w:eastAsia="仿宋_GB2312"/>
              </w:rPr>
              <w:t>具备履行合同所必须的设备和专业技术能力的说明及承诺；</w:t>
            </w:r>
          </w:p>
        </w:tc>
        <w:tc>
          <w:tcPr>
            <w:tcW w:type="dxa" w:w="1661"/>
          </w:tcPr>
          <w:p>
            <w:pPr>
              <w:pStyle w:val="null3"/>
            </w:pPr>
            <w:r>
              <w:rPr>
                <w:rFonts w:ascii="仿宋_GB2312" w:hAnsi="仿宋_GB2312" w:cs="仿宋_GB2312" w:eastAsia="仿宋_GB2312"/>
              </w:rPr>
              <w:t>八、资格证明文件.docx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重大违法记录的声明</w:t>
            </w:r>
          </w:p>
        </w:tc>
        <w:tc>
          <w:tcPr>
            <w:tcW w:type="dxa" w:w="3322"/>
          </w:tcPr>
          <w:p>
            <w:pPr>
              <w:pStyle w:val="null3"/>
            </w:pPr>
            <w:r>
              <w:rPr>
                <w:rFonts w:ascii="仿宋_GB2312" w:hAnsi="仿宋_GB2312" w:cs="仿宋_GB2312" w:eastAsia="仿宋_GB2312"/>
              </w:rPr>
              <w:t>供应商在近三年经营活动中没有重大违法记录的声明；</w:t>
            </w:r>
          </w:p>
        </w:tc>
        <w:tc>
          <w:tcPr>
            <w:tcW w:type="dxa" w:w="1661"/>
          </w:tcPr>
          <w:p>
            <w:pPr>
              <w:pStyle w:val="null3"/>
            </w:pPr>
            <w:r>
              <w:rPr>
                <w:rFonts w:ascii="仿宋_GB2312" w:hAnsi="仿宋_GB2312" w:cs="仿宋_GB2312" w:eastAsia="仿宋_GB2312"/>
              </w:rPr>
              <w:t>八、资格证明文件.docx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财务状况报告（二选一）</w:t>
            </w:r>
          </w:p>
        </w:tc>
        <w:tc>
          <w:tcPr>
            <w:tcW w:type="dxa" w:w="3322"/>
          </w:tcPr>
          <w:p>
            <w:pPr>
              <w:pStyle w:val="null3"/>
            </w:pPr>
            <w:r>
              <w:rPr>
                <w:rFonts w:ascii="仿宋_GB2312" w:hAnsi="仿宋_GB2312" w:cs="仿宋_GB2312" w:eastAsia="仿宋_GB2312"/>
              </w:rPr>
              <w:t>财务状况报告（二选一）：①供应商提供2025年度经会计师事务所或审计机构审计的完整的财务审计报告（成立时间至提供投标文件截止时间不足一年的可提供成立后任意时段的资产负债表）；②在投标截止时间前三个月内其开户银行出具的资信证明（附开户许可证或基本账户存款信息）；</w:t>
            </w:r>
          </w:p>
        </w:tc>
        <w:tc>
          <w:tcPr>
            <w:tcW w:type="dxa" w:w="1661"/>
          </w:tcPr>
          <w:p>
            <w:pPr>
              <w:pStyle w:val="null3"/>
            </w:pPr>
            <w:r>
              <w:rPr>
                <w:rFonts w:ascii="仿宋_GB2312" w:hAnsi="仿宋_GB2312" w:cs="仿宋_GB2312" w:eastAsia="仿宋_GB2312"/>
              </w:rPr>
              <w:t>八、资格证明文件.docx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税收缴纳证明：供应商提供已缴纳的2026年1月至今至少一个月的纳税证明或完税证明（任意税种）；依法免税的单位应提供相关文件证明；供应商为零申报企业提供证明材料；</w:t>
            </w:r>
          </w:p>
        </w:tc>
        <w:tc>
          <w:tcPr>
            <w:tcW w:type="dxa" w:w="1661"/>
          </w:tcPr>
          <w:p>
            <w:pPr>
              <w:pStyle w:val="null3"/>
            </w:pPr>
            <w:r>
              <w:rPr>
                <w:rFonts w:ascii="仿宋_GB2312" w:hAnsi="仿宋_GB2312" w:cs="仿宋_GB2312" w:eastAsia="仿宋_GB2312"/>
              </w:rPr>
              <w:t>八、资格证明文件.docx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社会保障资金缴纳证明：供应商提供已缴存的2026年1月至今至少一个月的社会保障资金缴存单据或社保机构开具的社会保险参保缴费情况证明，依法不需要缴纳社会保障资金的单位应提供相关证明材料；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八、资格证明文件.docx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此条无需提供，由代理机构现场查询）；</w:t>
            </w:r>
          </w:p>
        </w:tc>
        <w:tc>
          <w:tcPr>
            <w:tcW w:type="dxa" w:w="1661"/>
          </w:tcPr>
          <w:p>
            <w:pPr>
              <w:pStyle w:val="null3"/>
            </w:pPr>
            <w:r>
              <w:rPr>
                <w:rFonts w:ascii="仿宋_GB2312" w:hAnsi="仿宋_GB2312" w:cs="仿宋_GB2312" w:eastAsia="仿宋_GB2312"/>
              </w:rPr>
              <w:t>八、资格证明文件.docx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本项目不接受联合体投标（提供非联合体承诺书）；</w:t>
            </w:r>
          </w:p>
        </w:tc>
        <w:tc>
          <w:tcPr>
            <w:tcW w:type="dxa" w:w="1661"/>
          </w:tcPr>
          <w:p>
            <w:pPr>
              <w:pStyle w:val="null3"/>
            </w:pPr>
            <w:r>
              <w:rPr>
                <w:rFonts w:ascii="仿宋_GB2312" w:hAnsi="仿宋_GB2312" w:cs="仿宋_GB2312" w:eastAsia="仿宋_GB2312"/>
              </w:rPr>
              <w:t>八、资格证明文件.docx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供应商企业关联关系说明</w:t>
            </w:r>
          </w:p>
        </w:tc>
        <w:tc>
          <w:tcPr>
            <w:tcW w:type="dxa" w:w="3322"/>
          </w:tcPr>
          <w:p>
            <w:pPr>
              <w:pStyle w:val="null3"/>
            </w:pPr>
            <w:r>
              <w:rPr>
                <w:rFonts w:ascii="仿宋_GB2312" w:hAnsi="仿宋_GB2312" w:cs="仿宋_GB2312" w:eastAsia="仿宋_GB2312"/>
              </w:rPr>
              <w:t>单位负责人为同一人或者存在控股、管理关系的不同单位不得同时投标（提供供应商企业关系关联承诺书）；</w:t>
            </w:r>
          </w:p>
        </w:tc>
        <w:tc>
          <w:tcPr>
            <w:tcW w:type="dxa" w:w="1661"/>
          </w:tcPr>
          <w:p>
            <w:pPr>
              <w:pStyle w:val="null3"/>
            </w:pPr>
            <w:r>
              <w:rPr>
                <w:rFonts w:ascii="仿宋_GB2312" w:hAnsi="仿宋_GB2312" w:cs="仿宋_GB2312" w:eastAsia="仿宋_GB2312"/>
              </w:rPr>
              <w:t>八、资格证明文件.docx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投标文件上法定代表人或其授权代表人的签字、盖章齐全并加盖供应商公章；</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应符合“招标文件格式”要求；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只能有一个有效报价，不得提交选择性报价，且报价不超过采购预算、最高限价或者单价最高限价；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投标文件内容齐全、无遗漏（除评标因素外）；</w:t>
            </w:r>
          </w:p>
        </w:tc>
        <w:tc>
          <w:tcPr>
            <w:tcW w:type="dxa" w:w="1661"/>
          </w:tcPr>
          <w:p>
            <w:pPr>
              <w:pStyle w:val="null3"/>
            </w:pPr>
            <w:r>
              <w:rPr>
                <w:rFonts w:ascii="仿宋_GB2312" w:hAnsi="仿宋_GB2312" w:cs="仿宋_GB2312" w:eastAsia="仿宋_GB2312"/>
              </w:rPr>
              <w:t>投标文件封面 六、项目实施方案.docx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投标文件是否出现重大负偏离的</w:t>
            </w:r>
          </w:p>
        </w:tc>
        <w:tc>
          <w:tcPr>
            <w:tcW w:type="dxa" w:w="3322"/>
          </w:tcPr>
          <w:p>
            <w:pPr>
              <w:pStyle w:val="null3"/>
            </w:pPr>
            <w:r>
              <w:rPr>
                <w:rFonts w:ascii="仿宋_GB2312" w:hAnsi="仿宋_GB2312" w:cs="仿宋_GB2312" w:eastAsia="仿宋_GB2312"/>
              </w:rPr>
              <w:t>投标文件未出现重大负偏离的;</w:t>
            </w:r>
          </w:p>
        </w:tc>
        <w:tc>
          <w:tcPr>
            <w:tcW w:type="dxa" w:w="1661"/>
          </w:tcPr>
          <w:p>
            <w:pPr>
              <w:pStyle w:val="null3"/>
            </w:pPr>
            <w:r>
              <w:rPr>
                <w:rFonts w:ascii="仿宋_GB2312" w:hAnsi="仿宋_GB2312" w:cs="仿宋_GB2312" w:eastAsia="仿宋_GB2312"/>
              </w:rPr>
              <w:t>四、商务偏离表.docx 投标文件封面 五、技术偏离表.docx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应满足招标文件中要求的交货期；</w:t>
            </w:r>
          </w:p>
        </w:tc>
        <w:tc>
          <w:tcPr>
            <w:tcW w:type="dxa" w:w="1661"/>
          </w:tcPr>
          <w:p>
            <w:pPr>
              <w:pStyle w:val="null3"/>
            </w:pPr>
            <w:r>
              <w:rPr>
                <w:rFonts w:ascii="仿宋_GB2312" w:hAnsi="仿宋_GB2312" w:cs="仿宋_GB2312" w:eastAsia="仿宋_GB2312"/>
              </w:rPr>
              <w:t>开标一览表 投标文件封面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应满足招标文件中要求的质保期；</w:t>
            </w:r>
          </w:p>
        </w:tc>
        <w:tc>
          <w:tcPr>
            <w:tcW w:type="dxa" w:w="1661"/>
          </w:tcPr>
          <w:p>
            <w:pPr>
              <w:pStyle w:val="null3"/>
            </w:pPr>
            <w:r>
              <w:rPr>
                <w:rFonts w:ascii="仿宋_GB2312" w:hAnsi="仿宋_GB2312" w:cs="仿宋_GB2312" w:eastAsia="仿宋_GB2312"/>
              </w:rPr>
              <w:t>四、商务偏离表.docx 投标文件封面 五、技术偏离表.docx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技术要求</w:t>
            </w:r>
          </w:p>
        </w:tc>
        <w:tc>
          <w:tcPr>
            <w:tcW w:type="dxa" w:w="2492"/>
          </w:tcPr>
          <w:p>
            <w:pPr>
              <w:pStyle w:val="null3"/>
            </w:pPr>
            <w:r>
              <w:rPr>
                <w:rFonts w:ascii="仿宋_GB2312" w:hAnsi="仿宋_GB2312" w:cs="仿宋_GB2312" w:eastAsia="仿宋_GB2312"/>
              </w:rPr>
              <w:t>产品选型及配置：评标委员会根据投标人提供的《技术偏离表》对所提供产品的技术指标进行比较和评价，参数完全满足招标文件要求计35分；▲标项参数每负偏离一项扣2分，需提供证明材料。非▲标项参数每负偏离一项扣1分，扣完为止,以《技术偏离表》为准。 备注：技术偏离表完全复制招标文件文件技术参数的，评标委员会可给予5分的扣减。</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五、技术偏离表.docx</w:t>
            </w:r>
          </w:p>
          <w:p>
            <w:pPr>
              <w:pStyle w:val="null3"/>
            </w:pPr>
            <w:r>
              <w:rPr>
                <w:rFonts w:ascii="仿宋_GB2312" w:hAnsi="仿宋_GB2312" w:cs="仿宋_GB2312" w:eastAsia="仿宋_GB2312"/>
              </w:rPr>
              <w:t>六、项目实施方案.docx</w:t>
            </w:r>
          </w:p>
          <w:p>
            <w:pPr>
              <w:pStyle w:val="null3"/>
            </w:pPr>
            <w:r>
              <w:rPr>
                <w:rFonts w:ascii="仿宋_GB2312" w:hAnsi="仿宋_GB2312" w:cs="仿宋_GB2312" w:eastAsia="仿宋_GB2312"/>
              </w:rPr>
              <w:t>七、承诺文件.docx</w:t>
            </w:r>
          </w:p>
          <w:p>
            <w:pPr>
              <w:pStyle w:val="null3"/>
            </w:pPr>
            <w:r>
              <w:rPr>
                <w:rFonts w:ascii="仿宋_GB2312" w:hAnsi="仿宋_GB2312" w:cs="仿宋_GB2312" w:eastAsia="仿宋_GB2312"/>
              </w:rPr>
              <w:t>九、其他资料.docx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货源渠道:所投产品货源渠道正规、有质量保证，无劣质、假冒、瑕疵产品及产权纠纷，提供产品来源渠道合法的证明文件（包括但不限于销售协议、代理协议、原厂授权等）；相关产品的证明材料完善、合法有效，无产权纠纷，提供的相关资料齐全，计10分；有部分证明材料和资料，计6分；证明材料和资料缺失严重，计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六、项目实施方案.docx</w:t>
            </w:r>
          </w:p>
          <w:p>
            <w:pPr>
              <w:pStyle w:val="null3"/>
            </w:pPr>
            <w:r>
              <w:rPr>
                <w:rFonts w:ascii="仿宋_GB2312" w:hAnsi="仿宋_GB2312" w:cs="仿宋_GB2312" w:eastAsia="仿宋_GB2312"/>
              </w:rPr>
              <w:t>七、承诺文件.docx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培训方案及培训效果保证措施：根据投标人提供的培训方案及培训效果保证措施等进行评分，方案完善、工作目标明确、科学合理、培训效果保证措施充分，计4分，有培训方案、目标较明确、措施和各项工作目标、条理性不强，计2分，方案较差，计1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六、项目实施方案.docx</w:t>
            </w:r>
          </w:p>
          <w:p>
            <w:pPr>
              <w:pStyle w:val="null3"/>
            </w:pPr>
            <w:r>
              <w:rPr>
                <w:rFonts w:ascii="仿宋_GB2312" w:hAnsi="仿宋_GB2312" w:cs="仿宋_GB2312" w:eastAsia="仿宋_GB2312"/>
              </w:rPr>
              <w:t>七、承诺文件.docx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售后服务：根据投标人提供的针对本项目特点的售后服务评分。方案完善、科学合理，针对性强、服务承诺明确，计6分，方案较完整、合理可行、特点和承诺不明确，计4分，方案较差，计2分；未提供不计分。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六、项目实施方案.docx</w:t>
            </w:r>
          </w:p>
          <w:p>
            <w:pPr>
              <w:pStyle w:val="null3"/>
            </w:pPr>
            <w:r>
              <w:rPr>
                <w:rFonts w:ascii="仿宋_GB2312" w:hAnsi="仿宋_GB2312" w:cs="仿宋_GB2312" w:eastAsia="仿宋_GB2312"/>
              </w:rPr>
              <w:t>七、承诺文件.docx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供应商具有2023年7月至今的同类业绩证明文件（以合同签订时间为准），每提供一个得5分，满分15分。 注：投标文件中附加盖供应商公章的合同复印件。</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九、其他资料.docx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三、分项报价表.docx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满足招标文件要求且投标价格最低的报价为基准价，其价格分为满分。其他供应商的价格分统一按照下列公式计算：报价得分=(基准价／报价)*30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详见附件：三、分项报价表.docx</w:t>
      </w:r>
    </w:p>
    <w:p>
      <w:pPr>
        <w:pStyle w:val="null3"/>
        <w:ind w:firstLine="960"/>
      </w:pPr>
      <w:r>
        <w:rPr>
          <w:rFonts w:ascii="仿宋_GB2312" w:hAnsi="仿宋_GB2312" w:cs="仿宋_GB2312" w:eastAsia="仿宋_GB2312"/>
        </w:rPr>
        <w:t>详见附件：四、商务偏离表.docx</w:t>
      </w:r>
    </w:p>
    <w:p>
      <w:pPr>
        <w:pStyle w:val="null3"/>
        <w:ind w:firstLine="960"/>
      </w:pPr>
      <w:r>
        <w:rPr>
          <w:rFonts w:ascii="仿宋_GB2312" w:hAnsi="仿宋_GB2312" w:cs="仿宋_GB2312" w:eastAsia="仿宋_GB2312"/>
        </w:rPr>
        <w:t>详见附件：五、技术偏离表.docx</w:t>
      </w:r>
    </w:p>
    <w:p>
      <w:pPr>
        <w:pStyle w:val="null3"/>
        <w:ind w:firstLine="960"/>
      </w:pPr>
      <w:r>
        <w:rPr>
          <w:rFonts w:ascii="仿宋_GB2312" w:hAnsi="仿宋_GB2312" w:cs="仿宋_GB2312" w:eastAsia="仿宋_GB2312"/>
        </w:rPr>
        <w:t>详见附件：六、项目实施方案.docx</w:t>
      </w:r>
    </w:p>
    <w:p>
      <w:pPr>
        <w:pStyle w:val="null3"/>
        <w:ind w:firstLine="960"/>
      </w:pPr>
      <w:r>
        <w:rPr>
          <w:rFonts w:ascii="仿宋_GB2312" w:hAnsi="仿宋_GB2312" w:cs="仿宋_GB2312" w:eastAsia="仿宋_GB2312"/>
        </w:rPr>
        <w:t>详见附件：七、承诺文件.docx</w:t>
      </w:r>
    </w:p>
    <w:p>
      <w:pPr>
        <w:pStyle w:val="null3"/>
        <w:ind w:firstLine="960"/>
      </w:pPr>
      <w:r>
        <w:rPr>
          <w:rFonts w:ascii="仿宋_GB2312" w:hAnsi="仿宋_GB2312" w:cs="仿宋_GB2312" w:eastAsia="仿宋_GB2312"/>
        </w:rPr>
        <w:t>详见附件：八、资格证明文件.docx</w:t>
      </w:r>
    </w:p>
    <w:p>
      <w:pPr>
        <w:pStyle w:val="null3"/>
        <w:ind w:firstLine="960"/>
      </w:pPr>
      <w:r>
        <w:rPr>
          <w:rFonts w:ascii="仿宋_GB2312" w:hAnsi="仿宋_GB2312" w:cs="仿宋_GB2312" w:eastAsia="仿宋_GB2312"/>
        </w:rPr>
        <w:t>详见附件：九、其他资料.docx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