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A9225">
      <w:pPr>
        <w:pStyle w:val="4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  <w:sz w:val="36"/>
        </w:rPr>
        <w:t>第七章 拟签订合同文本</w:t>
      </w:r>
    </w:p>
    <w:p w14:paraId="3CC73814">
      <w:pPr>
        <w:keepLines w:val="0"/>
        <w:pageBreakBefore w:val="0"/>
        <w:shd w:val="clear"/>
        <w:kinsoku/>
        <w:wordWrap/>
        <w:overflowPunct/>
        <w:topLinePunct w:val="0"/>
        <w:bidi w:val="0"/>
        <w:spacing w:line="560" w:lineRule="exact"/>
        <w:ind w:left="0" w:leftChars="0" w:firstLine="400" w:firstLineChars="200"/>
        <w:jc w:val="center"/>
        <w:rPr>
          <w:rFonts w:hint="eastAsia" w:asciiTheme="majorEastAsia" w:hAnsiTheme="majorEastAsia" w:eastAsiaTheme="majorEastAsia" w:cstheme="majorEastAsia"/>
          <w:kern w:val="0"/>
          <w:sz w:val="20"/>
          <w:szCs w:val="2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0"/>
          <w:szCs w:val="20"/>
          <w:lang w:val="en-US" w:eastAsia="zh-CN"/>
        </w:rPr>
        <w:t>（本合同为合同样稿，最终稿由双方协商后确定）</w:t>
      </w:r>
    </w:p>
    <w:p w14:paraId="064339E0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12" w:firstLineChars="300"/>
        <w:jc w:val="left"/>
        <w:textAlignment w:val="auto"/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val="en-US" w:eastAsia="zh-CN"/>
        </w:rPr>
      </w:pPr>
      <w:bookmarkStart w:id="0" w:name="_Hlt503233640"/>
      <w:bookmarkEnd w:id="0"/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甲方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eastAsia="zh-CN"/>
        </w:rPr>
        <w:t>）</w:t>
      </w:r>
    </w:p>
    <w:p w14:paraId="10369A17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乙方（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-17"/>
          <w:sz w:val="20"/>
          <w:szCs w:val="20"/>
        </w:rPr>
        <w:t>）：</w:t>
      </w:r>
    </w:p>
    <w:p w14:paraId="749A2B16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3" w:line="360" w:lineRule="auto"/>
        <w:ind w:left="120" w:right="459" w:firstLine="526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根据《中华人民共和国政府采购法》、《中华人民共和国民法典》等法律法规，</w:t>
      </w:r>
      <w:r>
        <w:rPr>
          <w:rFonts w:hint="eastAsia" w:asciiTheme="minorEastAsia" w:hAnsiTheme="minorEastAsia" w:eastAsiaTheme="minorEastAsia" w:cstheme="minorEastAsia"/>
          <w:spacing w:val="-5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甲方通过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u w:val="single" w:color="auto"/>
          <w:lang w:eastAsia="zh-CN"/>
        </w:rPr>
        <w:t>公开招标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，选定乙方为中标供应商。</w:t>
      </w:r>
      <w:r>
        <w:rPr>
          <w:rFonts w:hint="eastAsia" w:asciiTheme="minorEastAsia" w:hAnsiTheme="minorEastAsia" w:eastAsiaTheme="minorEastAsia" w:cstheme="minorEastAsia"/>
          <w:spacing w:val="-5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甲、乙双方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在平等基础上协商一致，达成如下合同条款：</w:t>
      </w:r>
    </w:p>
    <w:p w14:paraId="2E78873D">
      <w:pPr>
        <w:keepNext w:val="0"/>
        <w:keepLines w:val="0"/>
        <w:pageBreakBefore w:val="0"/>
        <w:widowControl w:val="0"/>
        <w:shd w:val="clear"/>
        <w:kinsoku/>
        <w:overflowPunct/>
        <w:topLinePunct w:val="0"/>
        <w:autoSpaceDE/>
        <w:autoSpaceDN/>
        <w:bidi w:val="0"/>
        <w:adjustRightInd/>
        <w:snapToGrid/>
        <w:spacing w:before="29" w:line="360" w:lineRule="auto"/>
        <w:ind w:left="649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合同内容</w:t>
      </w:r>
    </w:p>
    <w:tbl>
      <w:tblPr>
        <w:tblStyle w:val="6"/>
        <w:tblW w:w="9657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1648"/>
        <w:gridCol w:w="1781"/>
        <w:gridCol w:w="1069"/>
        <w:gridCol w:w="1069"/>
        <w:gridCol w:w="1070"/>
        <w:gridCol w:w="1064"/>
        <w:gridCol w:w="1016"/>
      </w:tblGrid>
      <w:tr w14:paraId="69DB48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940" w:type="dxa"/>
            <w:noWrap w:val="0"/>
            <w:vAlign w:val="center"/>
          </w:tcPr>
          <w:p w14:paraId="597D0E63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648" w:type="dxa"/>
            <w:noWrap w:val="0"/>
            <w:vAlign w:val="center"/>
          </w:tcPr>
          <w:p w14:paraId="30FF7163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6"/>
                <w:sz w:val="20"/>
                <w:szCs w:val="20"/>
              </w:rPr>
              <w:t>产品名称</w:t>
            </w:r>
          </w:p>
        </w:tc>
        <w:tc>
          <w:tcPr>
            <w:tcW w:w="1781" w:type="dxa"/>
            <w:noWrap w:val="0"/>
            <w:vAlign w:val="center"/>
          </w:tcPr>
          <w:p w14:paraId="05C1ED43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</w:rPr>
              <w:t>型号</w:t>
            </w:r>
          </w:p>
        </w:tc>
        <w:tc>
          <w:tcPr>
            <w:tcW w:w="1069" w:type="dxa"/>
            <w:noWrap w:val="0"/>
            <w:vAlign w:val="center"/>
          </w:tcPr>
          <w:p w14:paraId="5045FE90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产地</w:t>
            </w:r>
          </w:p>
        </w:tc>
        <w:tc>
          <w:tcPr>
            <w:tcW w:w="1069" w:type="dxa"/>
            <w:noWrap w:val="0"/>
            <w:vAlign w:val="center"/>
          </w:tcPr>
          <w:p w14:paraId="5B829CCC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数量</w:t>
            </w:r>
          </w:p>
        </w:tc>
        <w:tc>
          <w:tcPr>
            <w:tcW w:w="1070" w:type="dxa"/>
            <w:noWrap w:val="0"/>
            <w:vAlign w:val="center"/>
          </w:tcPr>
          <w:p w14:paraId="79671C62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单价</w:t>
            </w:r>
          </w:p>
        </w:tc>
        <w:tc>
          <w:tcPr>
            <w:tcW w:w="1064" w:type="dxa"/>
            <w:noWrap w:val="0"/>
            <w:vAlign w:val="center"/>
          </w:tcPr>
          <w:p w14:paraId="5ECADFA6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"/>
                <w:sz w:val="20"/>
                <w:szCs w:val="20"/>
              </w:rPr>
              <w:t>总价</w:t>
            </w:r>
          </w:p>
        </w:tc>
        <w:tc>
          <w:tcPr>
            <w:tcW w:w="1016" w:type="dxa"/>
            <w:noWrap w:val="0"/>
            <w:vAlign w:val="center"/>
          </w:tcPr>
          <w:p w14:paraId="2CF2457C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2"/>
                <w:sz w:val="20"/>
                <w:szCs w:val="20"/>
              </w:rPr>
              <w:t>备注</w:t>
            </w:r>
          </w:p>
        </w:tc>
      </w:tr>
      <w:tr w14:paraId="3E518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40" w:type="dxa"/>
            <w:noWrap w:val="0"/>
            <w:vAlign w:val="center"/>
          </w:tcPr>
          <w:p w14:paraId="21B987C1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1648" w:type="dxa"/>
            <w:noWrap w:val="0"/>
            <w:vAlign w:val="center"/>
          </w:tcPr>
          <w:p w14:paraId="73BD1B00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12B41C67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2C7CDB30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35DB53B3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7AAF3F4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5E14C08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7E4ECBB0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 w14:paraId="045362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40" w:type="dxa"/>
            <w:noWrap w:val="0"/>
            <w:vAlign w:val="center"/>
          </w:tcPr>
          <w:p w14:paraId="2C0EAA8A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1"/>
                <w:sz w:val="20"/>
                <w:szCs w:val="20"/>
              </w:rPr>
              <w:t>...</w:t>
            </w:r>
          </w:p>
        </w:tc>
        <w:tc>
          <w:tcPr>
            <w:tcW w:w="1648" w:type="dxa"/>
            <w:noWrap w:val="0"/>
            <w:vAlign w:val="center"/>
          </w:tcPr>
          <w:p w14:paraId="226DAAEF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6D88B943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269B196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10F9CAB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3F14CB8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F17443C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11D8A189">
            <w:pPr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 w14:paraId="5CC40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588" w:type="dxa"/>
            <w:gridSpan w:val="2"/>
            <w:noWrap w:val="0"/>
            <w:vAlign w:val="top"/>
          </w:tcPr>
          <w:p w14:paraId="3B8D1755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7" w:line="360" w:lineRule="auto"/>
              <w:ind w:left="54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5"/>
                <w:position w:val="2"/>
                <w:sz w:val="20"/>
                <w:szCs w:val="20"/>
              </w:rPr>
              <w:t>总计（人民币/元）</w:t>
            </w:r>
          </w:p>
        </w:tc>
        <w:tc>
          <w:tcPr>
            <w:tcW w:w="7069" w:type="dxa"/>
            <w:gridSpan w:val="6"/>
            <w:noWrap w:val="0"/>
            <w:vAlign w:val="top"/>
          </w:tcPr>
          <w:p w14:paraId="600A440B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60" w:lineRule="auto"/>
              <w:ind w:left="124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2"/>
                <w:sz w:val="20"/>
                <w:szCs w:val="20"/>
              </w:rPr>
              <w:t>￥</w:t>
            </w:r>
            <w:r>
              <w:rPr>
                <w:rFonts w:hint="eastAsia" w:asciiTheme="minorEastAsia" w:hAnsiTheme="minorEastAsia" w:eastAsiaTheme="minorEastAsia" w:cstheme="minorEastAsia"/>
                <w:spacing w:val="-49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21"/>
                <w:sz w:val="20"/>
                <w:szCs w:val="20"/>
              </w:rPr>
              <w:t>：（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2"/>
                <w:sz w:val="20"/>
                <w:szCs w:val="20"/>
              </w:rPr>
              <w:t>大写）</w:t>
            </w:r>
          </w:p>
        </w:tc>
      </w:tr>
    </w:tbl>
    <w:p w14:paraId="5AD1A07E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乙方负责按以上确定的产品规格、型号及配套内容进行供货，及时运到甲方指定交货地点安装调试，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确保所有产品达到最佳运行状态，做好售后服务工作。</w:t>
      </w:r>
    </w:p>
    <w:p w14:paraId="46620DDD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二、合同价格</w:t>
      </w:r>
    </w:p>
    <w:p w14:paraId="539588ED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合同总价：人民币大写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  <w:u w:val="single"/>
        </w:rPr>
        <w:t>：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position w:val="2"/>
          <w:sz w:val="20"/>
          <w:szCs w:val="20"/>
        </w:rPr>
        <w:t>人民币/元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；</w:t>
      </w:r>
      <w:r>
        <w:rPr>
          <w:rFonts w:hint="eastAsia" w:asciiTheme="minorEastAsia" w:hAnsiTheme="minorEastAsia" w:eastAsiaTheme="minorEastAsia" w:cstheme="minorEastAsia"/>
          <w:spacing w:val="-6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2"/>
          <w:sz w:val="20"/>
          <w:szCs w:val="20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￥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元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。</w:t>
      </w:r>
    </w:p>
    <w:p w14:paraId="7E7B675D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11"/>
          <w:sz w:val="20"/>
          <w:szCs w:val="20"/>
        </w:rPr>
        <w:t>合同总价包括：所供货物、服务且验收合格的所有费用，包括出厂价、运杂费（含保险）、仓储保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管费、检测费、人工费、利润、税费等其他一切相关费用；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包括从产品供应地点到交货地点，</w:t>
      </w:r>
      <w:r>
        <w:rPr>
          <w:rFonts w:hint="eastAsia" w:asciiTheme="minorEastAsia" w:hAnsiTheme="minorEastAsia" w:eastAsiaTheme="minorEastAsia" w:cstheme="minorEastAsia"/>
          <w:spacing w:val="11"/>
          <w:sz w:val="20"/>
          <w:szCs w:val="20"/>
        </w:rPr>
        <w:t>且使产品具备使用条件的一切费用。合同总价不可变更，不受市场价变化的影响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。</w:t>
      </w:r>
    </w:p>
    <w:p w14:paraId="29AF4B1E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三、款项支付</w:t>
      </w:r>
    </w:p>
    <w:p w14:paraId="2D1FBDA4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  <w:t>付款方式：合同签订后15天内支付合同总金额的40%，供货安装付进度款30%，项目建设完成并验收合格后15天内支付合同总金额的30%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highlight w:val="none"/>
          <w:lang w:val="en-US" w:eastAsia="zh-CN"/>
        </w:rPr>
        <w:t>。</w:t>
      </w:r>
    </w:p>
    <w:p w14:paraId="75B31CD4">
      <w:pPr>
        <w:pStyle w:val="7"/>
        <w:keepNext w:val="0"/>
        <w:keepLines w:val="0"/>
        <w:pageBreakBefore w:val="0"/>
        <w:widowControl w:val="0"/>
        <w:shd w:val="clear" w:color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  <w:t>2、结算方式：采购人与成交供应商直接结算，发票直开采购人。</w:t>
      </w:r>
    </w:p>
    <w:p w14:paraId="70ECB3A1">
      <w:pPr>
        <w:pStyle w:val="7"/>
        <w:keepNext w:val="0"/>
        <w:keepLines w:val="0"/>
        <w:pageBreakBefore w:val="0"/>
        <w:widowControl w:val="0"/>
        <w:shd w:val="clear" w:color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  <w:t>3、支付方式：银行转账形式结账。</w:t>
      </w:r>
    </w:p>
    <w:p w14:paraId="4A46AD45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四、交货条件</w:t>
      </w:r>
    </w:p>
    <w:p w14:paraId="6018F77F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8" w:firstLineChars="200"/>
        <w:textAlignment w:val="auto"/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1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、交货地点：</w:t>
      </w:r>
      <w:r>
        <w:rPr>
          <w:rFonts w:hint="eastAsia" w:asciiTheme="minorEastAsia" w:hAnsiTheme="minorEastAsia" w:eastAsiaTheme="minorEastAsia" w:cstheme="minorEastAsia"/>
          <w:spacing w:val="-54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甲方指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定地点</w:t>
      </w:r>
    </w:p>
    <w:p w14:paraId="300880EA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pacing w:val="7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2 、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  <w:highlight w:val="none"/>
        </w:rPr>
        <w:t>交货日期：</w:t>
      </w:r>
      <w:r>
        <w:rPr>
          <w:rFonts w:hint="eastAsia" w:asciiTheme="majorEastAsia" w:hAnsiTheme="majorEastAsia" w:eastAsiaTheme="majorEastAsia" w:cstheme="majorEastAsia"/>
          <w:highlight w:val="none"/>
          <w:lang w:eastAsia="zh-CN"/>
        </w:rPr>
        <w:t>合同签订后120天交付完成</w:t>
      </w:r>
      <w:r>
        <w:rPr>
          <w:rFonts w:hint="eastAsia" w:asciiTheme="majorEastAsia" w:hAnsiTheme="majorEastAsia" w:eastAsiaTheme="majorEastAsia" w:cstheme="majorEastAsia"/>
          <w:highlight w:val="none"/>
          <w:lang w:val="en-US" w:eastAsia="zh-CN"/>
        </w:rPr>
        <w:t xml:space="preserve">  </w:t>
      </w:r>
    </w:p>
    <w:p w14:paraId="1C14CE38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pacing w:val="7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  <w:highlight w:val="none"/>
        </w:rPr>
        <w:t>3 、质保期：</w:t>
      </w:r>
      <w:r>
        <w:rPr>
          <w:rFonts w:hint="eastAsia" w:asciiTheme="minorEastAsia" w:hAnsiTheme="minorEastAsia" w:cstheme="minorEastAsia"/>
          <w:spacing w:val="7"/>
          <w:sz w:val="20"/>
          <w:szCs w:val="20"/>
          <w:highlight w:val="none"/>
          <w:lang w:val="en-US" w:eastAsia="zh-CN"/>
        </w:rPr>
        <w:t>硬件质保三年，运维服务周期一年（起算时间均以项目最终验收合格之日为准）</w:t>
      </w:r>
    </w:p>
    <w:p w14:paraId="766DCFDF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3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五、运输方式：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根据产品特性，由乙方在保证产品质量的前提下，自行选择运输及包装方式，发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生的一切费用全部由乙方承担。</w:t>
      </w:r>
    </w:p>
    <w:p w14:paraId="00B52A56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六、质量保证</w:t>
      </w:r>
    </w:p>
    <w:p w14:paraId="36E2BB63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、乙方保证所有产品全部符合国家及行业强制性标准；</w:t>
      </w:r>
    </w:p>
    <w:p w14:paraId="1C566E86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-23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、乙方保证所提供的产品质量可靠，进货渠道正常，配置合理，技术性能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完全满足采购文件要求；</w:t>
      </w:r>
    </w:p>
    <w:p w14:paraId="7838131F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3、若产品所用原材料或加工工艺造成的质量和内外观缺陷问题，由乙方负责解决并承担费用。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sz w:val="20"/>
          <w:szCs w:val="20"/>
        </w:rPr>
        <w:t>（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保证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货物是全新的、未曾使用过的、以工艺及材料制造，并保证所供产品的完整性，本合同产品为成 套供货，合同总价中已包括满足产品完整运行的附件，备件，配套件等，产品质量应符合国标标准和本 合同附件的要求,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应随产品提供检验报告。）</w:t>
      </w:r>
    </w:p>
    <w:p w14:paraId="7C016A8B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4 、产品性能未达到技术要求的，乙方限期内进行整改；整改仍达不到要求的，甲方有权解除合同， 保留依法索赔的权利。</w:t>
      </w:r>
    </w:p>
    <w:p w14:paraId="2DF82079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5 、质保期内若发生产品质量问题，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应立即免费解决；否则，甲方有权从剩余合同款中支付相关费用。</w:t>
      </w:r>
    </w:p>
    <w:p w14:paraId="5BBAEB3F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、产品包装及环保要求</w:t>
      </w:r>
    </w:p>
    <w:p w14:paraId="6FDF46CD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  <w:t>本项目标的产品如需要包装或快递的，乙方须严格按照“关于印发《商品包装政府采购需求标准（试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行）》、 《快递包装政府采购需求标准（试行）》的通知（财办库〔2020〕123号）”规定执行。</w:t>
      </w:r>
    </w:p>
    <w:p w14:paraId="2B8F2D40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0"/>
          <w:szCs w:val="20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sz w:val="20"/>
          <w:szCs w:val="20"/>
        </w:rPr>
        <w:t>、违约责任：</w:t>
      </w:r>
    </w:p>
    <w:p w14:paraId="591FB2BF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1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、按《中华人民共和国民法典》中的相关条款执行。</w:t>
      </w:r>
    </w:p>
    <w:p w14:paraId="3C8CB4FC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、未按合同要求提供产品或产品质量不能满足合同约定的技术要求，</w:t>
      </w:r>
      <w:r>
        <w:rPr>
          <w:rFonts w:hint="eastAsia" w:asciiTheme="minorEastAsia" w:hAnsiTheme="minorEastAsia" w:eastAsiaTheme="minorEastAsia" w:cstheme="minorEastAsia"/>
          <w:spacing w:val="-5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甲方有权终止合同，乙方须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无条件全额退回甲方已付给乙方的货款，并向甲方支付合同总价款百分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之十的违约金。并保留追究乙方</w:t>
      </w:r>
    </w:p>
    <w:p w14:paraId="20C74CAA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违约责任的权利。</w:t>
      </w:r>
    </w:p>
    <w:p w14:paraId="1C7CAC91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3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、除甲乙双方共同认可的不可抗力因素外，乙方不得因节假日等任何原因迟延供货。如因乙方原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因延迟供货的，乙方应按每天</w:t>
      </w:r>
      <w:r>
        <w:rPr>
          <w:rFonts w:hint="eastAsia" w:asciiTheme="minorEastAsia" w:hAnsiTheme="minorEastAsia" w:eastAsiaTheme="minorEastAsia" w:cstheme="minorEastAsia"/>
          <w:spacing w:val="-3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3‰向甲方承担违约责任。延迟</w:t>
      </w:r>
      <w:r>
        <w:rPr>
          <w:rFonts w:hint="eastAsia" w:asciiTheme="minorEastAsia" w:hAnsiTheme="minorEastAsia" w:eastAsiaTheme="minorEastAsia" w:cstheme="minorEastAsia"/>
          <w:spacing w:val="-3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30</w:t>
      </w:r>
      <w:r>
        <w:rPr>
          <w:rFonts w:hint="eastAsia" w:asciiTheme="minorEastAsia" w:hAnsiTheme="minorEastAsia" w:eastAsiaTheme="minorEastAsia" w:cstheme="minorEastAsia"/>
          <w:spacing w:val="2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天以上，</w:t>
      </w:r>
      <w:r>
        <w:rPr>
          <w:rFonts w:hint="eastAsia" w:asciiTheme="minorEastAsia" w:hAnsiTheme="minorEastAsia" w:eastAsiaTheme="minorEastAsia" w:cstheme="minorEastAsia"/>
          <w:spacing w:val="-5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甲方有权解除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合同。产品质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量问题违约的，除了按照迟延时间计算违约金外，另可以采取退货、换货等方式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，由乙方承担一切费用。</w:t>
      </w:r>
    </w:p>
    <w:p w14:paraId="750980E6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0"/>
          <w:szCs w:val="20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、产品验收</w:t>
      </w:r>
    </w:p>
    <w:p w14:paraId="29FF9B98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1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、验收由甲方相关人员组成的验收小组负责。</w:t>
      </w:r>
    </w:p>
    <w:p w14:paraId="4A2E75F0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、项目整体验收：该项目初验合格后，</w:t>
      </w:r>
      <w:r>
        <w:rPr>
          <w:rFonts w:hint="eastAsia" w:asciiTheme="minorEastAsia" w:hAnsiTheme="minorEastAsia" w:eastAsiaTheme="minorEastAsia" w:cstheme="minorEastAsia"/>
          <w:spacing w:val="-5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甲方根据使用单位初步验收报告，组织相关人员或专家组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成的验收小组对产品进行最终验收。验收所产生的相关费用由乙方承担。</w:t>
      </w:r>
    </w:p>
    <w:p w14:paraId="66EBAE3A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.1</w:t>
      </w:r>
      <w:r>
        <w:rPr>
          <w:rFonts w:hint="eastAsia" w:asciiTheme="minorEastAsia" w:hAnsiTheme="minorEastAsia" w:eastAsiaTheme="minorEastAsia" w:cstheme="minorEastAsia"/>
          <w:spacing w:val="36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乙方提供完整的操作手册和安装、调试、维修手册；提供制造厂家的检验测试报告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或产品出厂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检测报告。</w:t>
      </w:r>
    </w:p>
    <w:p w14:paraId="579AE0C2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.2</w:t>
      </w:r>
      <w:r>
        <w:rPr>
          <w:rFonts w:hint="eastAsia" w:asciiTheme="minorEastAsia" w:hAnsiTheme="minorEastAsia" w:eastAsiaTheme="minorEastAsia" w:cstheme="minorEastAsia"/>
          <w:spacing w:val="42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甲方根据合同要求对产品进行验收、确认产品的产地、规格、型号和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数量。验收依据为本合同文本、投标文件和国内相应的标准、规范。</w:t>
      </w:r>
    </w:p>
    <w:p w14:paraId="3ECA0103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、验收合格后，填写产品验收单，并向甲方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提交产品所包含的所有资料，以便使用单位日后管理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和维护。</w:t>
      </w:r>
    </w:p>
    <w:p w14:paraId="3CD1B70B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、在交割以前产品所发生的一切损失及费用由乙方承担。性能达到技术要求的，验收通过；验收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不合格的，限期整改；整改仍达不到要求的，按本合同第八条第</w:t>
      </w:r>
      <w:r>
        <w:rPr>
          <w:rFonts w:hint="eastAsia" w:asciiTheme="minorEastAsia" w:hAnsiTheme="minorEastAsia" w:eastAsiaTheme="minorEastAsia" w:cstheme="minorEastAsia"/>
          <w:spacing w:val="-20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1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款处理。</w:t>
      </w:r>
    </w:p>
    <w:p w14:paraId="6AF9FAC9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、如因货物的质量问题发生争议，</w:t>
      </w:r>
      <w:r>
        <w:rPr>
          <w:rFonts w:hint="eastAsia" w:asciiTheme="minorEastAsia" w:hAnsiTheme="minorEastAsia" w:eastAsiaTheme="minorEastAsia" w:cstheme="minorEastAsia"/>
          <w:spacing w:val="-5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由甲方属地技术质量监督部门进行质量鉴定；货物符合质量标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准的，鉴定费由甲方承担；货物不符合质量标准的，鉴定费由乙方承担。</w:t>
      </w:r>
    </w:p>
    <w:p w14:paraId="36C84414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十、合同争议的解决</w:t>
      </w:r>
    </w:p>
    <w:p w14:paraId="1DA1454F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合同一经签订，不得随意变更、中止或终止。对确需变更、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调整或者中止、终止合同的，应按规定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履行相应的手续。</w:t>
      </w:r>
    </w:p>
    <w:p w14:paraId="44433878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合同执行中发生争议的，甲、乙双方应协商解决，协商达不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成一致时，可向甲方所在地人民法院提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起诉讼。</w:t>
      </w:r>
    </w:p>
    <w:p w14:paraId="5AF97258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"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十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、其它事项</w:t>
      </w:r>
    </w:p>
    <w:p w14:paraId="30554131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4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、</w:t>
      </w:r>
      <w:r>
        <w:rPr>
          <w:rFonts w:hint="eastAsia" w:asciiTheme="minorEastAsia" w:hAnsiTheme="minorEastAsia" w:eastAsiaTheme="minorEastAsia" w:cstheme="minorEastAsia"/>
          <w:spacing w:val="-59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甲、乙双方做为合同执行的主体，有义务及时完全履行合同。</w:t>
      </w:r>
    </w:p>
    <w:p w14:paraId="36797813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4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、</w:t>
      </w:r>
      <w:r>
        <w:rPr>
          <w:rFonts w:hint="eastAsia" w:asciiTheme="minorEastAsia" w:hAnsiTheme="minorEastAsia" w:eastAsiaTheme="minorEastAsia" w:cstheme="minorEastAsia"/>
          <w:spacing w:val="-59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甲方使用部门代表签署合同，并随时监督合同履行情况。</w:t>
      </w:r>
    </w:p>
    <w:p w14:paraId="77801196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3</w:t>
      </w:r>
      <w:r>
        <w:rPr>
          <w:rFonts w:hint="eastAsia" w:asciiTheme="minorEastAsia" w:hAnsiTheme="minorEastAsia" w:eastAsiaTheme="minorEastAsia" w:cstheme="minorEastAsia"/>
          <w:spacing w:val="-2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、合同未尽事宜，由甲、乙双方协商，协商方案作为本合同不可分割的组成部分，与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本合同具有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同等法律效力。</w:t>
      </w:r>
    </w:p>
    <w:p w14:paraId="6DE8D287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4</w:t>
      </w:r>
      <w:r>
        <w:rPr>
          <w:rFonts w:hint="eastAsia" w:asciiTheme="minorEastAsia" w:hAnsiTheme="minorEastAsia" w:eastAsiaTheme="minorEastAsia" w:cstheme="minorEastAsia"/>
          <w:spacing w:val="-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、采购文件和乙方的投标文件以及合同附件均为合同不可分割的部分。</w:t>
      </w:r>
    </w:p>
    <w:p w14:paraId="60542F37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5</w:t>
      </w:r>
      <w:r>
        <w:rPr>
          <w:rFonts w:hint="eastAsia" w:asciiTheme="minorEastAsia" w:hAnsiTheme="minorEastAsia" w:eastAsiaTheme="minorEastAsia" w:cstheme="minorEastAsia"/>
          <w:spacing w:val="-2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、合同一式陆份，甲方持肆份、乙方执壹份，采购代理机构壹份。双方签字盖章后生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效，合同执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行完毕自动失效。（合同的服务承诺长期有效）。</w:t>
      </w:r>
    </w:p>
    <w:p w14:paraId="69F869CB">
      <w:pPr>
        <w:keepNext w:val="0"/>
        <w:keepLines w:val="0"/>
        <w:pageBreakBefore w:val="0"/>
        <w:widowControl w:val="0"/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u w:val="none" w:color="auto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6</w:t>
      </w:r>
      <w:r>
        <w:rPr>
          <w:rFonts w:hint="eastAsia" w:asciiTheme="minorEastAsia" w:hAnsiTheme="minorEastAsia" w:eastAsiaTheme="minorEastAsia" w:cstheme="minorEastAsia"/>
          <w:spacing w:val="-2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、使用单位收货、验货人员：</w:t>
      </w:r>
      <w:r>
        <w:rPr>
          <w:rFonts w:hint="eastAsia" w:asciiTheme="minorEastAsia" w:hAnsiTheme="minorEastAsia" w:eastAsiaTheme="minorEastAsia" w:cstheme="minorEastAsia"/>
          <w:spacing w:val="-5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电话：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none" w:color="auto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none" w:color="auto"/>
        </w:rPr>
        <w:t xml:space="preserve">         </w:t>
      </w:r>
    </w:p>
    <w:tbl>
      <w:tblPr>
        <w:tblStyle w:val="6"/>
        <w:tblW w:w="874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0"/>
        <w:gridCol w:w="4370"/>
      </w:tblGrid>
      <w:tr w14:paraId="31F747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4370" w:type="dxa"/>
            <w:noWrap w:val="0"/>
            <w:vAlign w:val="top"/>
          </w:tcPr>
          <w:p w14:paraId="082CBA1A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</w:rPr>
              <w:t>甲方（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  <w:lang w:eastAsia="zh-CN"/>
              </w:rPr>
              <w:t>招标人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0"/>
                <w:szCs w:val="20"/>
              </w:rPr>
              <w:t>）：</w:t>
            </w:r>
          </w:p>
        </w:tc>
        <w:tc>
          <w:tcPr>
            <w:tcW w:w="4370" w:type="dxa"/>
            <w:noWrap w:val="0"/>
            <w:vAlign w:val="top"/>
          </w:tcPr>
          <w:p w14:paraId="49AA1448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57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</w:rPr>
              <w:t>乙方（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lang w:eastAsia="zh-CN"/>
              </w:rPr>
              <w:t>中标人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）：</w:t>
            </w:r>
          </w:p>
        </w:tc>
      </w:tr>
      <w:tr w14:paraId="2E5A43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4370" w:type="dxa"/>
            <w:noWrap w:val="0"/>
            <w:vAlign w:val="top"/>
          </w:tcPr>
          <w:p w14:paraId="59592E20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地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址：</w:t>
            </w:r>
          </w:p>
        </w:tc>
        <w:tc>
          <w:tcPr>
            <w:tcW w:w="4370" w:type="dxa"/>
            <w:noWrap w:val="0"/>
            <w:vAlign w:val="top"/>
          </w:tcPr>
          <w:p w14:paraId="4E7E4541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360" w:lineRule="auto"/>
              <w:ind w:left="1554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地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址：</w:t>
            </w:r>
          </w:p>
        </w:tc>
      </w:tr>
      <w:tr w14:paraId="707E05E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4370" w:type="dxa"/>
            <w:noWrap w:val="0"/>
            <w:vAlign w:val="top"/>
          </w:tcPr>
          <w:p w14:paraId="6E543351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代理人：</w:t>
            </w:r>
          </w:p>
        </w:tc>
        <w:tc>
          <w:tcPr>
            <w:tcW w:w="4370" w:type="dxa"/>
            <w:noWrap w:val="0"/>
            <w:vAlign w:val="top"/>
          </w:tcPr>
          <w:p w14:paraId="142C162B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252" w:line="360" w:lineRule="auto"/>
              <w:ind w:left="1553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</w:rPr>
              <w:t>代理人</w:t>
            </w:r>
          </w:p>
        </w:tc>
      </w:tr>
      <w:tr w14:paraId="12667E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370" w:type="dxa"/>
            <w:noWrap w:val="0"/>
            <w:vAlign w:val="top"/>
          </w:tcPr>
          <w:p w14:paraId="17526595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1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联系电话：</w:t>
            </w:r>
          </w:p>
        </w:tc>
        <w:tc>
          <w:tcPr>
            <w:tcW w:w="4370" w:type="dxa"/>
            <w:noWrap w:val="0"/>
            <w:vAlign w:val="top"/>
          </w:tcPr>
          <w:p w14:paraId="5F6E456A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155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联系电话：</w:t>
            </w:r>
          </w:p>
        </w:tc>
      </w:tr>
      <w:tr w14:paraId="790634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70" w:type="dxa"/>
            <w:noWrap w:val="0"/>
            <w:vAlign w:val="top"/>
          </w:tcPr>
          <w:p w14:paraId="1517F826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360" w:lineRule="auto"/>
              <w:ind w:left="1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</w:rPr>
              <w:t>开户行：</w:t>
            </w:r>
          </w:p>
        </w:tc>
        <w:tc>
          <w:tcPr>
            <w:tcW w:w="4370" w:type="dxa"/>
            <w:noWrap w:val="0"/>
            <w:vAlign w:val="top"/>
          </w:tcPr>
          <w:p w14:paraId="5D51E955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256" w:line="360" w:lineRule="auto"/>
              <w:ind w:left="155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</w:rPr>
              <w:t>开户行：</w:t>
            </w:r>
          </w:p>
        </w:tc>
      </w:tr>
      <w:tr w14:paraId="529E23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4370" w:type="dxa"/>
            <w:noWrap w:val="0"/>
            <w:vAlign w:val="top"/>
          </w:tcPr>
          <w:p w14:paraId="08EB444A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4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</w:rPr>
              <w:t>账号：</w:t>
            </w:r>
          </w:p>
        </w:tc>
        <w:tc>
          <w:tcPr>
            <w:tcW w:w="4370" w:type="dxa"/>
            <w:noWrap w:val="0"/>
            <w:vAlign w:val="top"/>
          </w:tcPr>
          <w:p w14:paraId="2CF70928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216" w:line="360" w:lineRule="auto"/>
              <w:ind w:left="1558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</w:rPr>
              <w:t>账号：</w:t>
            </w:r>
          </w:p>
        </w:tc>
      </w:tr>
      <w:tr w14:paraId="05EBB6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4370" w:type="dxa"/>
            <w:noWrap w:val="0"/>
            <w:vAlign w:val="top"/>
          </w:tcPr>
          <w:p w14:paraId="782EAE28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36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</w:rPr>
              <w:t>日期：年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</w:rPr>
              <w:t>日</w:t>
            </w:r>
          </w:p>
        </w:tc>
        <w:tc>
          <w:tcPr>
            <w:tcW w:w="4370" w:type="dxa"/>
            <w:noWrap w:val="0"/>
            <w:vAlign w:val="top"/>
          </w:tcPr>
          <w:p w14:paraId="7E183412">
            <w:pPr>
              <w:pStyle w:val="5"/>
              <w:keepNext w:val="0"/>
              <w:keepLines w:val="0"/>
              <w:pageBreakBefore w:val="0"/>
              <w:widowControl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日期：</w:t>
            </w:r>
            <w:r>
              <w:rPr>
                <w:rFonts w:hint="eastAsia" w:asciiTheme="minorEastAsia" w:hAnsiTheme="minorEastAsia" w:eastAsiaTheme="minorEastAsia" w:cstheme="minorEastAsia"/>
                <w:spacing w:val="25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27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日</w:t>
            </w:r>
          </w:p>
        </w:tc>
      </w:tr>
    </w:tbl>
    <w:p w14:paraId="22AC79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A6927"/>
    <w:rsid w:val="7ED3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2127</Words>
  <Characters>2150</Characters>
  <Lines>0</Lines>
  <Paragraphs>0</Paragraphs>
  <TotalTime>0</TotalTime>
  <ScaleCrop>false</ScaleCrop>
  <LinksUpToDate>false</LinksUpToDate>
  <CharactersWithSpaces>2263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2026-08-12T05:27:00Z</dcterms:created>
  <dc:creator>Administrator</dc:creator>
  <cp:lastModifiedBy>宋璟雯</cp:lastModifiedBy>
  <dcterms:modified xsi:type="dcterms:W3CDTF">2026-08-12T06:23:01Z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eyJoZGlkIjoiN2Y4YWYxYmQzZjI4NzUxZmYwNzczZWM3MmVlZTM0MGQiLCJ1c2VySWQiOiIxNDUxODIyODU0In0=</vt:lpwstr>
  </property>
  <property fmtid="{D5CDD505-2E9C-101B-9397-08002B2CF9AE}" pid="4" name="ICV">
    <vt:lpwstr>35742756303B4254892181A769FF30EB_12</vt:lpwstr>
  </property>
</Properties>
</file>