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版本号：ZC2026-FW-13720260628002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城固县安全生产和防灾减灾救灾隐患排查专家指导帮扶项目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ZC2026-FW-137</w:t>
      </w:r>
      <w:r>
        <w:br/>
      </w:r>
      <w:r>
        <w:br/>
      </w:r>
      <w:r>
        <w:br/>
      </w:r>
    </w:p>
    <w:p>
      <w:pPr>
        <w:pStyle w:val="null3"/>
        <w:jc w:val="center"/>
        <w:outlineLvl w:val="2"/>
      </w:pPr>
      <w:r>
        <w:rPr>
          <w:rFonts w:ascii="仿宋_GB2312" w:hAnsi="仿宋_GB2312" w:cs="仿宋_GB2312" w:eastAsia="仿宋_GB2312"/>
          <w:sz w:val="28"/>
          <w:b/>
        </w:rPr>
        <w:t>城固县应急管理局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城固县应急管理局</w:t>
      </w:r>
      <w:r>
        <w:rPr>
          <w:rFonts w:ascii="仿宋_GB2312" w:hAnsi="仿宋_GB2312" w:cs="仿宋_GB2312" w:eastAsia="仿宋_GB2312"/>
        </w:rPr>
        <w:t>委托，拟对</w:t>
      </w:r>
      <w:r>
        <w:rPr>
          <w:rFonts w:ascii="仿宋_GB2312" w:hAnsi="仿宋_GB2312" w:cs="仿宋_GB2312" w:eastAsia="仿宋_GB2312"/>
        </w:rPr>
        <w:t>城固县安全生产和防灾减灾救灾隐患排查专家指导帮扶项目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城固县安全生产和防灾减灾救灾隐患排查专家指导帮扶项目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挖细查我县安全生产和防灾减灾救灾工作中存在的事故隐患，有效防范化解重点领域安全风险，按照县委、县政府安全防范工作部署要求，由县安委办牵头，围绕易发事故、日常检查隐患频发、安全管理薄弱的重点领域，选取210家具有代表性企业，聘请第三方机构和安全生产领域专家开展安全生产、防灾减灾救灾隐患排查整治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采购包1（城固县安全生产和防灾减灾救灾隐患排查专家指导帮扶项目）：属于专门面向中小企业采购。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p>
      <w:pPr>
        <w:pStyle w:val="null3"/>
      </w:pPr>
      <w:r>
        <w:rPr>
          <w:rFonts w:ascii="仿宋_GB2312" w:hAnsi="仿宋_GB2312" w:cs="仿宋_GB2312" w:eastAsia="仿宋_GB2312"/>
        </w:rPr>
        <w:t>3、其他要求：本项目不接受联合体磋商，供应商需提供非联合体书面声明。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城固县民主街137号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西安市高新三路9号信息港大厦5层506号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采购包1：1,252,800.00元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成交金额为基数，参照《国家计委关于印发&lt;招标代理服务收费管理暂行办法&gt;的通知》（计价格[2002]1980号）规定的服务类标准以差额定率累进制计算收取，由成交供应商在领取成交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城固县应急管理局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地址：西安市高新三路9号信息港大厦5层506号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挖细查我县安全生产和防灾减灾救灾工作中存在的事故隐患，有效防范化解重点领域安全风险，按照县委、县政府安全防范工作部署要求，由县安委办牵头，围绕易发事故、日常检查隐患频发、安全管理薄弱的重点领域，选取210家具有代表性企业，聘请第三方机构和安全生产领域专家开展安全生产、防灾减灾救灾隐患排查整治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1,252,800.00</w:t>
      </w:r>
    </w:p>
    <w:p>
      <w:pPr>
        <w:pStyle w:val="null3"/>
      </w:pPr>
      <w:r>
        <w:rPr>
          <w:rFonts w:ascii="仿宋_GB2312" w:hAnsi="仿宋_GB2312" w:cs="仿宋_GB2312" w:eastAsia="仿宋_GB2312"/>
        </w:rPr>
        <w:t>采购包最高限价（元）: 1,252,800.00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FF"/>
              </w:rPr>
              <w:t>一、项目概况：</w:t>
            </w:r>
          </w:p>
          <w:p>
            <w:pPr>
              <w:pStyle w:val="null3"/>
              <w:ind w:firstLine="420"/>
              <w:jc w:val="both"/>
            </w:pPr>
            <w:r>
              <w:rPr>
                <w:rFonts w:ascii="仿宋_GB2312" w:hAnsi="仿宋_GB2312" w:cs="仿宋_GB2312" w:eastAsia="仿宋_GB2312"/>
                <w:sz w:val="21"/>
                <w:color w:val="0000FF"/>
              </w:rPr>
              <w:t>为深挖细查我县安全生产和防灾减灾救灾工作中存在的事故隐患，有效防范化解重点领域安全风险，按照县委、县政府安全防范工作部署要求，由县安委办牵头，围绕易发事故、日常检查隐患频发、安全管理薄弱的重点领域，选取</w:t>
            </w:r>
            <w:r>
              <w:rPr>
                <w:rFonts w:ascii="仿宋_GB2312" w:hAnsi="仿宋_GB2312" w:cs="仿宋_GB2312" w:eastAsia="仿宋_GB2312"/>
                <w:sz w:val="21"/>
                <w:color w:val="0000FF"/>
              </w:rPr>
              <w:t>210家具有代表性企业，聘请第三方机构和安全生产领域专家开展安全生产、防灾减灾救灾隐患排查整治工作</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b/>
                <w:color w:val="0000FF"/>
              </w:rPr>
              <w:t>二、采购需求：</w:t>
            </w:r>
          </w:p>
          <w:p>
            <w:pPr>
              <w:pStyle w:val="null3"/>
              <w:ind w:firstLine="420"/>
              <w:jc w:val="both"/>
            </w:pPr>
            <w:r>
              <w:rPr>
                <w:rFonts w:ascii="仿宋_GB2312" w:hAnsi="仿宋_GB2312" w:cs="仿宋_GB2312" w:eastAsia="仿宋_GB2312"/>
                <w:sz w:val="21"/>
                <w:color w:val="0000FF"/>
              </w:rPr>
              <w:t>（一）组织不同行业领域专家开展入企帮扶指导，针对现场发现问题隐患，分别形成不同重点行业领域的安全风险分析报告，并提出切合实际、易于整改的意见建议（检查企业以县安委办提供名单为主，平均每月检查不少于</w:t>
            </w:r>
            <w:r>
              <w:rPr>
                <w:rFonts w:ascii="仿宋_GB2312" w:hAnsi="仿宋_GB2312" w:cs="仿宋_GB2312" w:eastAsia="仿宋_GB2312"/>
                <w:sz w:val="21"/>
                <w:color w:val="0000FF"/>
              </w:rPr>
              <w:t>20家）。</w:t>
            </w:r>
          </w:p>
          <w:p>
            <w:pPr>
              <w:pStyle w:val="null3"/>
              <w:ind w:firstLine="420"/>
              <w:jc w:val="both"/>
            </w:pPr>
            <w:r>
              <w:rPr>
                <w:rFonts w:ascii="仿宋_GB2312" w:hAnsi="仿宋_GB2312" w:cs="仿宋_GB2312" w:eastAsia="仿宋_GB2312"/>
                <w:sz w:val="21"/>
                <w:color w:val="0000FF"/>
              </w:rPr>
              <w:t>（二）在重大活动、重点时段、重大节假日前后，配合县安委办、县应急管理局及有关部门开展安全生产和防灾减灾救灾重点领域专家指导帮扶，指出发现的问题隐患并提出切实可行的整改建议。</w:t>
            </w:r>
          </w:p>
          <w:p>
            <w:pPr>
              <w:pStyle w:val="null3"/>
              <w:ind w:firstLine="420"/>
              <w:jc w:val="both"/>
            </w:pPr>
            <w:r>
              <w:rPr>
                <w:rFonts w:ascii="仿宋_GB2312" w:hAnsi="仿宋_GB2312" w:cs="仿宋_GB2312" w:eastAsia="仿宋_GB2312"/>
                <w:sz w:val="21"/>
                <w:color w:val="0000FF"/>
              </w:rPr>
              <w:t>（三）按照县安委办、县应急管理局及有关部门工作要求，对各级发现的不放心的重大隐患整改情况开展</w:t>
            </w:r>
            <w:r>
              <w:rPr>
                <w:rFonts w:ascii="仿宋_GB2312" w:hAnsi="仿宋_GB2312" w:cs="仿宋_GB2312" w:eastAsia="仿宋_GB2312"/>
                <w:sz w:val="21"/>
                <w:color w:val="0000FF"/>
              </w:rPr>
              <w:t>“回头看”抽查，并提出切合实际、防止问题隐患反弹、实现闭环管理的意见建议（每月不少于5家）。</w:t>
            </w:r>
          </w:p>
          <w:p>
            <w:pPr>
              <w:pStyle w:val="null3"/>
              <w:ind w:firstLine="420"/>
              <w:jc w:val="both"/>
            </w:pPr>
            <w:r>
              <w:rPr>
                <w:rFonts w:ascii="仿宋_GB2312" w:hAnsi="仿宋_GB2312" w:cs="仿宋_GB2312" w:eastAsia="仿宋_GB2312"/>
                <w:sz w:val="21"/>
                <w:color w:val="0000FF"/>
              </w:rPr>
              <w:t>（四）按照县安委办、县应急管理局及有关部门工作要求，开展安全生产和防灾减灾救灾领域培训工作（累计开展不少于</w:t>
            </w:r>
            <w:r>
              <w:rPr>
                <w:rFonts w:ascii="仿宋_GB2312" w:hAnsi="仿宋_GB2312" w:cs="仿宋_GB2312" w:eastAsia="仿宋_GB2312"/>
                <w:sz w:val="21"/>
                <w:color w:val="0000FF"/>
              </w:rPr>
              <w:t>3次）。</w:t>
            </w:r>
          </w:p>
          <w:p>
            <w:pPr>
              <w:pStyle w:val="null3"/>
              <w:jc w:val="both"/>
            </w:pPr>
            <w:r>
              <w:rPr>
                <w:rFonts w:ascii="仿宋_GB2312" w:hAnsi="仿宋_GB2312" w:cs="仿宋_GB2312" w:eastAsia="仿宋_GB2312"/>
                <w:sz w:val="21"/>
                <w:b/>
                <w:color w:val="0000FF"/>
              </w:rPr>
              <w:t>三、第三方安全评价机构应提交的资料</w:t>
            </w:r>
          </w:p>
          <w:p>
            <w:pPr>
              <w:pStyle w:val="null3"/>
              <w:jc w:val="both"/>
            </w:pPr>
            <w:r>
              <w:rPr>
                <w:rFonts w:ascii="仿宋_GB2312" w:hAnsi="仿宋_GB2312" w:cs="仿宋_GB2312" w:eastAsia="仿宋_GB2312"/>
                <w:sz w:val="21"/>
                <w:color w:val="0000FF"/>
              </w:rPr>
              <w:t>（一）核心成果报告类（必备）</w:t>
            </w:r>
          </w:p>
          <w:p>
            <w:pPr>
              <w:pStyle w:val="null3"/>
              <w:jc w:val="both"/>
            </w:pPr>
            <w:r>
              <w:rPr>
                <w:rFonts w:ascii="仿宋_GB2312" w:hAnsi="仿宋_GB2312" w:cs="仿宋_GB2312" w:eastAsia="仿宋_GB2312"/>
                <w:sz w:val="21"/>
                <w:color w:val="0000FF"/>
              </w:rPr>
              <w:t>专家指导帮扶</w:t>
            </w:r>
            <w:r>
              <w:rPr>
                <w:rFonts w:ascii="仿宋_GB2312" w:hAnsi="仿宋_GB2312" w:cs="仿宋_GB2312" w:eastAsia="仿宋_GB2312"/>
                <w:sz w:val="21"/>
                <w:color w:val="0000FF"/>
              </w:rPr>
              <w:t>/会诊/评估报告：全面反映帮扶项目情况，包括企业/项目总体概况、现场检查情况、发现的隐患情况、提出的整改意见及建议、不同重点行业领域的安全风险分析，最终评估/总结论等。</w:t>
            </w:r>
          </w:p>
          <w:p>
            <w:pPr>
              <w:pStyle w:val="null3"/>
              <w:jc w:val="both"/>
            </w:pPr>
            <w:r>
              <w:rPr>
                <w:rFonts w:ascii="仿宋_GB2312" w:hAnsi="仿宋_GB2312" w:cs="仿宋_GB2312" w:eastAsia="仿宋_GB2312"/>
                <w:sz w:val="21"/>
                <w:color w:val="0000FF"/>
              </w:rPr>
              <w:t>隐患整改复查报告：对帮扶过程中复查的所有隐患整改提升情况进行总结，提交复查总结报告，并就反复出现问题、未整改彻底问题等提出进一步隐患整改建议。</w:t>
            </w:r>
          </w:p>
          <w:p>
            <w:pPr>
              <w:pStyle w:val="null3"/>
              <w:jc w:val="both"/>
            </w:pPr>
            <w:r>
              <w:rPr>
                <w:rFonts w:ascii="仿宋_GB2312" w:hAnsi="仿宋_GB2312" w:cs="仿宋_GB2312" w:eastAsia="仿宋_GB2312"/>
                <w:sz w:val="21"/>
                <w:color w:val="0000FF"/>
              </w:rPr>
              <w:t>阶段性工作开展情况报告：根据工作进展情况，每季度末汇总分析一次专家指导帮扶、培训、复查工作开展情况。</w:t>
            </w:r>
          </w:p>
          <w:p>
            <w:pPr>
              <w:pStyle w:val="null3"/>
              <w:jc w:val="both"/>
            </w:pPr>
            <w:r>
              <w:rPr>
                <w:rFonts w:ascii="仿宋_GB2312" w:hAnsi="仿宋_GB2312" w:cs="仿宋_GB2312" w:eastAsia="仿宋_GB2312"/>
                <w:sz w:val="21"/>
                <w:color w:val="0000FF"/>
              </w:rPr>
              <w:t>（二）过程痕迹与证明资料类（备查</w:t>
            </w:r>
            <w:r>
              <w:rPr>
                <w:rFonts w:ascii="仿宋_GB2312" w:hAnsi="仿宋_GB2312" w:cs="仿宋_GB2312" w:eastAsia="仿宋_GB2312"/>
                <w:sz w:val="21"/>
                <w:color w:val="0000FF"/>
              </w:rPr>
              <w:t>/归档）</w:t>
            </w:r>
          </w:p>
          <w:p>
            <w:pPr>
              <w:pStyle w:val="null3"/>
              <w:jc w:val="both"/>
            </w:pPr>
            <w:r>
              <w:rPr>
                <w:rFonts w:ascii="仿宋_GB2312" w:hAnsi="仿宋_GB2312" w:cs="仿宋_GB2312" w:eastAsia="仿宋_GB2312"/>
                <w:sz w:val="21"/>
                <w:color w:val="0000FF"/>
              </w:rPr>
              <w:t>现场检查</w:t>
            </w:r>
            <w:r>
              <w:rPr>
                <w:rFonts w:ascii="仿宋_GB2312" w:hAnsi="仿宋_GB2312" w:cs="仿宋_GB2312" w:eastAsia="仿宋_GB2312"/>
                <w:sz w:val="21"/>
                <w:color w:val="0000FF"/>
              </w:rPr>
              <w:t>/勘验记录：包括现场检查的纸质记录、影像资料（如现场检查照片、视频，需体现时间、人员、现场实际情况及隐患点）等。</w:t>
            </w:r>
          </w:p>
          <w:p>
            <w:pPr>
              <w:pStyle w:val="null3"/>
              <w:jc w:val="both"/>
            </w:pPr>
            <w:r>
              <w:rPr>
                <w:rFonts w:ascii="仿宋_GB2312" w:hAnsi="仿宋_GB2312" w:cs="仿宋_GB2312" w:eastAsia="仿宋_GB2312"/>
                <w:sz w:val="21"/>
                <w:color w:val="0000FF"/>
              </w:rPr>
              <w:t>现场沟通与意见交换记录：现场检查时与企业沟通的记录、隐患问题反馈单、企业整改承诺或意见交换记录等。</w:t>
            </w:r>
          </w:p>
          <w:p>
            <w:pPr>
              <w:pStyle w:val="null3"/>
              <w:jc w:val="both"/>
            </w:pPr>
            <w:r>
              <w:rPr>
                <w:rFonts w:ascii="仿宋_GB2312" w:hAnsi="仿宋_GB2312" w:cs="仿宋_GB2312" w:eastAsia="仿宋_GB2312"/>
                <w:sz w:val="21"/>
                <w:color w:val="0000FF"/>
              </w:rPr>
              <w:t>过程控制记录：参与指导帮扶的专家资质、专家评审会签到及专家意见等，以证明服务过程的规范性和可追溯性。</w:t>
            </w:r>
          </w:p>
          <w:p>
            <w:pPr>
              <w:pStyle w:val="null3"/>
              <w:jc w:val="both"/>
            </w:pPr>
            <w:r>
              <w:rPr>
                <w:rFonts w:ascii="仿宋_GB2312" w:hAnsi="仿宋_GB2312" w:cs="仿宋_GB2312" w:eastAsia="仿宋_GB2312"/>
                <w:sz w:val="21"/>
                <w:b/>
                <w:color w:val="0000FF"/>
              </w:rPr>
              <w:t>四、商务要求：</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1）服务期限：自合同签订之日起至2027年2月4日（春节前）止。</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2）服务地点：陕西省汉中市城固县。</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3）质量要求：符合国家及行业质量验收合格标准。</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4）付款方式：合同签订后支付合同金额的40%，合同履约90日历天后，支付合同金额的30%，项目全部履约完成并经采购人验收合格后，支付合同金额的30%。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自合同签订之日起至2027年2月4日（春节前）止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陕西省汉中市城固县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进度款，合同履约90日历天后，达到付款条件起5个工作日内，支付合同总金额的30.0%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进度款，项目全部履约完成并经采购人验收合格后，达到付款条件起5个工作日内，支付合同总金额的30.0%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1.根据财政部《关于推动解决政府采购异常低价问题的通知》（财库〔2026〕2号）“政府采购评审中出现下列情形之一的，评审委员会（磋商小组）应当启动异常低价投标（响应）审查程序”：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（4）评审委员会（磋商小组）基于专业判断，认为供应商报价过低，有可能影响产品质量或者不能诚信履约的其他情形。 评审委员会（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磋商小组）应当将其作为无效投标（响应）处理。 异常低价投标（响应）审查的启动原因、审查意见和审查结果应当在评审报告中记录，并随供应商提供的相关书面说明及证明材料，以及评审委员会（磋商小组）有关互联网浏览、查询历史一并归档 2.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法定代表人委托代理人参加磋商活动时，应提供法定代表人授权委托书；法定代表人亲自参加磋商活动时，应提供法定代表人身份证复印件。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对“服务期限、服务地点、质量要求、付款方式”等实质性内容进行响应且未附加采购人难以接受的条件</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总体要求方案</w:t>
            </w:r>
          </w:p>
        </w:tc>
        <w:tc>
          <w:tcPr>
            <w:tcW w:type="dxa" w:w="2492"/>
          </w:tcPr>
          <w:p>
            <w:pPr>
              <w:pStyle w:val="null3"/>
            </w:pPr>
            <w:r>
              <w:rPr>
                <w:rFonts w:ascii="仿宋_GB2312" w:hAnsi="仿宋_GB2312" w:cs="仿宋_GB2312" w:eastAsia="仿宋_GB2312"/>
              </w:rPr>
              <w:t>对供应商针对本项目提供的总体要求方案进行评审，包括但不限于以下内容：①项目理解；②工作思路；③工作原则；④合理化建议等。 以上4条内容，每条内容均完整的，得满分12分，每有一条内容缺项的，扣3分；每条内容中每有一处内容不完整或有缺陷或与项目不匹配的，扣1分，扣完为止。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对供应商针对本项目提供的服务方案进行评审，包括但不限于以下内容：①服务目标；②服务实施步骤计划(服务工作流程)；③服务管理规章制度；④成果文件及档案资料管理措施。 以上4条内容，每条内容均完整的，得满分12分，每有一条内容缺项的，扣3分；每条内容中每有一处内容不完整或有缺陷或与项目不匹配的，扣1分，扣完为止。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对供应商针对本项目提供的服务保障措施进行评审，包括但不限于以下内容：①质量保障措施；②安全保障措施；③进度保障措施；④服务人员保障措施。 以上4条内容，每条内容均完整的，得满分12分，每有一条内容缺项的，扣3分；每条内容中每有一处内容不完整或有缺陷或与项目不匹配的，扣1分，扣完为止。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对供应商针对本项目提供的重点、难点分析进行评审，包括但不限于以下内容：①提出本项目实施过程中容易出错或忽略的重点、难点分析；②针对所提出的重点、难点有相应的解决方案。 以上2条内容，每条内容均完整的，得满分4分，每有一条内容缺项的，扣2分；每条内容中每有一处内容不完整或有缺陷或与项目不匹配的，扣1分，扣完为止。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供应商在合同履行期内为采购人提供不少于三次的安全生产和防灾减灾救灾主题培训服务的，得4分。 注：须提供加盖供应商公章的承诺函。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供应商针对本项目提供服务承诺，包括以下内容：①响应时间承诺；②重大活动、重点时段、重大节假等特殊节点响应承诺；③突发或应急事件响应承诺。 以上3项内容，每提供一项承诺的，得2分，共6分。未提供，不得分。 注：须提供加盖供应商公章的承诺函。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供应商专家库中专家人员数量大于等于10人的，得10分；小于10人且大于等于5人的，得6分；小于5人且大于等于1人的，得3分；未提供，不得分。 注：须提供供应商与专家签订的外聘合同或其他合作证明相关材料。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供应商所提供的专家库中专家具有高级工程师职称证书的，每提供一个得2分，最高得20分，未提供，不得分。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供应商提供2023年01月至响应文件递交截止时间止，具有类似项目业绩，每提供一项合格业绩的，得5分，最高得10分。 注：以加盖供应商公章的合同复印件为准，时间以合同签订时间为准。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详见附件：合同文本-政府采购合同（范本）.docx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