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版本号：ZJDY-HZCG-2026-0920260603004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2026年南郑区湘水镇人居环境补短板项目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ZJDY-HZCG-2026-09</w:t>
      </w:r>
      <w:r>
        <w:br/>
      </w:r>
      <w:r>
        <w:br/>
      </w:r>
      <w:r>
        <w:br/>
      </w:r>
    </w:p>
    <w:p>
      <w:pPr>
        <w:pStyle w:val="null3"/>
        <w:jc w:val="center"/>
        <w:outlineLvl w:val="2"/>
      </w:pPr>
      <w:r>
        <w:rPr>
          <w:rFonts w:ascii="仿宋_GB2312" w:hAnsi="仿宋_GB2312" w:cs="仿宋_GB2312" w:eastAsia="仿宋_GB2312"/>
          <w:sz w:val="28"/>
          <w:b/>
        </w:rPr>
        <w:t>汉中市南郑区湘水镇人民政府</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汉中市南郑区湘水镇人民政府</w:t>
      </w:r>
      <w:r>
        <w:rPr>
          <w:rFonts w:ascii="仿宋_GB2312" w:hAnsi="仿宋_GB2312" w:cs="仿宋_GB2312" w:eastAsia="仿宋_GB2312"/>
        </w:rPr>
        <w:t>委托，拟对</w:t>
      </w:r>
      <w:r>
        <w:rPr>
          <w:rFonts w:ascii="仿宋_GB2312" w:hAnsi="仿宋_GB2312" w:cs="仿宋_GB2312" w:eastAsia="仿宋_GB2312"/>
        </w:rPr>
        <w:t>2026年南郑区湘水镇人居环境补短板项目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ZJDY-HZCG-2026-09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2026年南郑区湘水镇人居环境补短板项目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安全护栏修复、混凝土块石挡墙、场地回填平整、简单绿化整治提升、破损路面修复改造、步道硬化、破墙体整治、排水沟、垃圾处理点治理、场地硬化、健身器材、成品石材桌凳、砂砾石路面、钢筋混凝土仿木护栏及湘水镇村内户外道路边环境整治。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采购包1（2026年南郑区湘水镇人居环境补短板项目）：属于专门面向中小企业采购。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资格；：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或被授权委托人。：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3、供应商资格要求；：供应商具有行政主管部门核发的市政公用工程施工总承包三级（含三级）及以上资质，且具有有效的安全生产许可证；</w:t>
      </w:r>
    </w:p>
    <w:p>
      <w:pPr>
        <w:pStyle w:val="null3"/>
      </w:pPr>
      <w:r>
        <w:rPr>
          <w:rFonts w:ascii="仿宋_GB2312" w:hAnsi="仿宋_GB2312" w:cs="仿宋_GB2312" w:eastAsia="仿宋_GB2312"/>
        </w:rPr>
        <w:t>4、拟派项目经理资格要求；：拟派项目经理须具备市政公用工程专业二级（含二级）以上注册建造师资格和安全生产考核合格B证，且无在建项目（需提供无在建承诺书）；</w:t>
      </w:r>
    </w:p>
    <w:p>
      <w:pPr>
        <w:pStyle w:val="null3"/>
      </w:pPr>
      <w:r>
        <w:rPr>
          <w:rFonts w:ascii="仿宋_GB2312" w:hAnsi="仿宋_GB2312" w:cs="仿宋_GB2312" w:eastAsia="仿宋_GB2312"/>
        </w:rPr>
        <w:t>5、信誉要求；：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6、其他要求；：本项目不接受联合体磋商（提供非联合体声明）。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汉中市南郑区湘水镇人民政府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湘水镇湘水村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汉中市南郑区湘水镇人民政府府经办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15891464149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四川省成都市武侯区成都市武侯区佳灵路5号1栋11层1117号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18980735047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采购包1：1,618,900.00元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汉中市南郑区湘水镇人民政府</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汉中市南郑区湘水镇人民政府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汉中市南郑区湘水镇人民政府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联系电话：13571677736</w:t>
      </w:r>
    </w:p>
    <w:p>
      <w:pPr>
        <w:pStyle w:val="null3"/>
      </w:pPr>
      <w:r>
        <w:rPr>
          <w:rFonts w:ascii="仿宋_GB2312" w:hAnsi="仿宋_GB2312" w:cs="仿宋_GB2312" w:eastAsia="仿宋_GB2312"/>
        </w:rPr>
        <w:t>地址：陕西省汉中市汉台区东关街道办事处中饮国际办公中C8楼8026号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1,618,900.00</w:t>
      </w:r>
    </w:p>
    <w:p>
      <w:pPr>
        <w:pStyle w:val="null3"/>
      </w:pPr>
      <w:r>
        <w:rPr>
          <w:rFonts w:ascii="仿宋_GB2312" w:hAnsi="仿宋_GB2312" w:cs="仿宋_GB2312" w:eastAsia="仿宋_GB2312"/>
        </w:rPr>
        <w:t>采购包最高限价（元）: 1,615,833.70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2026年南郑区湘水镇人居环境补短板项目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1,618,900.00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标的名称：2026年南郑区湘水镇人居环境补短板项目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180"/>
              <w:jc w:val="left"/>
            </w:pPr>
            <w:r>
              <w:rPr>
                <w:rFonts w:ascii="仿宋_GB2312" w:hAnsi="仿宋_GB2312" w:cs="仿宋_GB2312" w:eastAsia="仿宋_GB2312"/>
                <w:sz w:val="24"/>
                <w:b/>
              </w:rPr>
              <w:t>一、工程概况</w:t>
            </w:r>
          </w:p>
          <w:p>
            <w:pPr>
              <w:pStyle w:val="null3"/>
              <w:ind w:firstLine="480"/>
              <w:jc w:val="left"/>
            </w:pPr>
            <w:r>
              <w:rPr>
                <w:rFonts w:ascii="仿宋_GB2312" w:hAnsi="仿宋_GB2312" w:cs="仿宋_GB2312" w:eastAsia="仿宋_GB2312"/>
                <w:sz w:val="24"/>
              </w:rPr>
              <w:t>本工程图纸由中述设计集团有限公司、中裕工程集团有限公司设计。主要建设内容：安全护栏修复</w:t>
            </w:r>
            <w:r>
              <w:rPr>
                <w:rFonts w:ascii="仿宋_GB2312" w:hAnsi="仿宋_GB2312" w:cs="仿宋_GB2312" w:eastAsia="仿宋_GB2312"/>
                <w:sz w:val="24"/>
              </w:rPr>
              <w:t>84.6m、混凝土块石挡墙550m3、场地回填平整600m2、简单绿化整治提升858.2m2、破损路面修复改造142.72m2、步道硬化26.73m2、破墙体整治115m2、排水沟43米、垃圾处理点治理1处、场地硬化570m2、健身器材4套、成品石材桌凳2套、砂砾石路面690米、钢筋混凝土仿木护栏800m及湘水镇村内户外5.65公里道路边环境整治。具体建设内容以工程量清单描述为准。</w:t>
            </w:r>
          </w:p>
          <w:p>
            <w:pPr>
              <w:pStyle w:val="null3"/>
              <w:jc w:val="left"/>
            </w:pPr>
            <w:r>
              <w:rPr>
                <w:rFonts w:ascii="仿宋_GB2312" w:hAnsi="仿宋_GB2312" w:cs="仿宋_GB2312" w:eastAsia="仿宋_GB2312"/>
                <w:sz w:val="24"/>
                <w:b/>
              </w:rPr>
              <w:t>二、编制依据</w:t>
            </w:r>
          </w:p>
          <w:p>
            <w:pPr>
              <w:pStyle w:val="null3"/>
              <w:ind w:firstLine="480"/>
              <w:jc w:val="both"/>
            </w:pPr>
            <w:r>
              <w:rPr>
                <w:rFonts w:ascii="仿宋_GB2312" w:hAnsi="仿宋_GB2312" w:cs="仿宋_GB2312" w:eastAsia="仿宋_GB2312"/>
                <w:sz w:val="24"/>
              </w:rPr>
              <w:t>1、依据汉中市南郑区</w:t>
            </w:r>
            <w:r>
              <w:rPr>
                <w:rFonts w:ascii="仿宋_GB2312" w:hAnsi="仿宋_GB2312" w:cs="仿宋_GB2312" w:eastAsia="仿宋_GB2312"/>
                <w:sz w:val="24"/>
              </w:rPr>
              <w:t>湘水</w:t>
            </w:r>
            <w:r>
              <w:rPr>
                <w:rFonts w:ascii="仿宋_GB2312" w:hAnsi="仿宋_GB2312" w:cs="仿宋_GB2312" w:eastAsia="仿宋_GB2312"/>
                <w:sz w:val="24"/>
              </w:rPr>
              <w:t>镇人民政府提供的</w:t>
            </w:r>
            <w:r>
              <w:rPr>
                <w:rFonts w:ascii="仿宋_GB2312" w:hAnsi="仿宋_GB2312" w:cs="仿宋_GB2312" w:eastAsia="仿宋_GB2312"/>
                <w:sz w:val="24"/>
              </w:rPr>
              <w:t>施工</w:t>
            </w:r>
            <w:r>
              <w:rPr>
                <w:rFonts w:ascii="仿宋_GB2312" w:hAnsi="仿宋_GB2312" w:cs="仿宋_GB2312" w:eastAsia="仿宋_GB2312"/>
                <w:sz w:val="24"/>
              </w:rPr>
              <w:t>图纸等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《陕西省工程建设标准之建设工程工程量清单计价标准》</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《陕西省工程建设标准之工程量计算标准》</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4、《陕西省建设工程费用规则(2025)》</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陕西省基价表(房屋建筑、装饰工程、通用安装、市政、园林绿化、地下综合管廊、绿色建筑)(2025)》、《陕西省消耗量定额(房屋建筑、装饰工程、通用安装、市政、园林绿化、地下综合管廊、绿色建筑)(2025)》、《陕西省建设工程施工机械台班费用定额(2025)》、《陕西省建设工程施工仪器仪表台班费用定额(2025)》及配套使用的相关计价文件、其他相关计价依据等</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6、主要材料价按汉中市工程造价管理办公室发布的《汉中建设工程造价信息》202</w:t>
            </w:r>
            <w:r>
              <w:rPr>
                <w:rFonts w:ascii="仿宋_GB2312" w:hAnsi="仿宋_GB2312" w:cs="仿宋_GB2312" w:eastAsia="仿宋_GB2312"/>
                <w:sz w:val="24"/>
              </w:rPr>
              <w:t>6</w:t>
            </w:r>
            <w:r>
              <w:rPr>
                <w:rFonts w:ascii="仿宋_GB2312" w:hAnsi="仿宋_GB2312" w:cs="仿宋_GB2312" w:eastAsia="仿宋_GB2312"/>
                <w:sz w:val="24"/>
              </w:rPr>
              <w:t>年第</w:t>
            </w:r>
            <w:r>
              <w:rPr>
                <w:rFonts w:ascii="仿宋_GB2312" w:hAnsi="仿宋_GB2312" w:cs="仿宋_GB2312" w:eastAsia="仿宋_GB2312"/>
                <w:sz w:val="24"/>
              </w:rPr>
              <w:t>3</w:t>
            </w:r>
            <w:r>
              <w:rPr>
                <w:rFonts w:ascii="仿宋_GB2312" w:hAnsi="仿宋_GB2312" w:cs="仿宋_GB2312" w:eastAsia="仿宋_GB2312"/>
                <w:sz w:val="24"/>
              </w:rPr>
              <w:t>期材料价、当前建筑材料市场价综合计入</w:t>
            </w:r>
            <w:r>
              <w:rPr>
                <w:rFonts w:ascii="仿宋_GB2312" w:hAnsi="仿宋_GB2312" w:cs="仿宋_GB2312" w:eastAsia="仿宋_GB2312"/>
                <w:sz w:val="24"/>
              </w:rPr>
              <w:t>。</w:t>
            </w:r>
          </w:p>
          <w:p>
            <w:pPr>
              <w:pStyle w:val="null3"/>
              <w:ind w:right="-180"/>
              <w:jc w:val="left"/>
            </w:pPr>
            <w:r>
              <w:rPr>
                <w:rFonts w:ascii="仿宋_GB2312" w:hAnsi="仿宋_GB2312" w:cs="仿宋_GB2312" w:eastAsia="仿宋_GB2312"/>
                <w:sz w:val="24"/>
                <w:b/>
              </w:rPr>
              <w:t>三、问题说明</w:t>
            </w:r>
          </w:p>
          <w:p>
            <w:pPr>
              <w:pStyle w:val="null3"/>
              <w:ind w:firstLine="480"/>
              <w:jc w:val="left"/>
            </w:pPr>
            <w:r>
              <w:rPr>
                <w:rFonts w:ascii="仿宋_GB2312" w:hAnsi="仿宋_GB2312" w:cs="仿宋_GB2312" w:eastAsia="仿宋_GB2312"/>
                <w:sz w:val="24"/>
              </w:rPr>
              <w:t>1、C25混凝土块石挡墙及相关工程量暂按设计图纸地基容许力500KPa,平均高度7m计入工程，结算时据实计算；</w:t>
            </w:r>
          </w:p>
          <w:p>
            <w:pPr>
              <w:pStyle w:val="null3"/>
              <w:ind w:firstLine="480"/>
              <w:jc w:val="left"/>
            </w:pPr>
            <w:r>
              <w:rPr>
                <w:rFonts w:ascii="仿宋_GB2312" w:hAnsi="仿宋_GB2312" w:cs="仿宋_GB2312" w:eastAsia="仿宋_GB2312"/>
                <w:sz w:val="24"/>
              </w:rPr>
              <w:t>2、户外坐凳，暂按综合单价800元/个计入；</w:t>
            </w:r>
          </w:p>
          <w:p>
            <w:pPr>
              <w:pStyle w:val="null3"/>
              <w:ind w:firstLine="480"/>
              <w:jc w:val="left"/>
            </w:pPr>
            <w:r>
              <w:rPr>
                <w:rFonts w:ascii="仿宋_GB2312" w:hAnsi="仿宋_GB2312" w:cs="仿宋_GB2312" w:eastAsia="仿宋_GB2312"/>
                <w:sz w:val="24"/>
              </w:rPr>
              <w:t>3、停车装置，暂按综合单价600元/个计入；</w:t>
            </w:r>
          </w:p>
          <w:p>
            <w:pPr>
              <w:pStyle w:val="null3"/>
              <w:ind w:firstLine="480"/>
              <w:jc w:val="left"/>
            </w:pPr>
            <w:r>
              <w:rPr>
                <w:rFonts w:ascii="仿宋_GB2312" w:hAnsi="仿宋_GB2312" w:cs="仿宋_GB2312" w:eastAsia="仿宋_GB2312"/>
                <w:sz w:val="24"/>
              </w:rPr>
              <w:t>4、新建堡坎，暂按综合单价120000元/项；</w:t>
            </w:r>
          </w:p>
          <w:p>
            <w:pPr>
              <w:pStyle w:val="null3"/>
              <w:ind w:firstLine="480"/>
              <w:jc w:val="left"/>
            </w:pPr>
            <w:r>
              <w:rPr>
                <w:rFonts w:ascii="仿宋_GB2312" w:hAnsi="仿宋_GB2312" w:cs="仿宋_GB2312" w:eastAsia="仿宋_GB2312"/>
                <w:sz w:val="24"/>
              </w:rPr>
              <w:t>5、成品石材桌凳，暂按综合单价1000元/套计入；</w:t>
            </w:r>
          </w:p>
          <w:p>
            <w:pPr>
              <w:pStyle w:val="null3"/>
              <w:ind w:firstLine="480"/>
              <w:jc w:val="left"/>
            </w:pPr>
            <w:r>
              <w:rPr>
                <w:rFonts w:ascii="仿宋_GB2312" w:hAnsi="仿宋_GB2312" w:cs="仿宋_GB2312" w:eastAsia="仿宋_GB2312"/>
                <w:sz w:val="24"/>
              </w:rPr>
              <w:t>6、成品户外健身器材，暂按综合单价1000元/套计入；</w:t>
            </w:r>
          </w:p>
          <w:p>
            <w:pPr>
              <w:pStyle w:val="null3"/>
              <w:ind w:firstLine="480"/>
              <w:jc w:val="left"/>
            </w:pPr>
            <w:r>
              <w:rPr>
                <w:rFonts w:ascii="仿宋_GB2312" w:hAnsi="仿宋_GB2312" w:cs="仿宋_GB2312" w:eastAsia="仿宋_GB2312"/>
                <w:sz w:val="24"/>
              </w:rPr>
              <w:t>7、C25片石混凝土挡墙弃土外运，垃圾外运，运距暂按5KM计入。</w:t>
            </w:r>
          </w:p>
          <w:p>
            <w:pPr>
              <w:pStyle w:val="null3"/>
              <w:jc w:val="left"/>
            </w:pPr>
            <w:r>
              <w:rPr>
                <w:rFonts w:ascii="仿宋_GB2312" w:hAnsi="仿宋_GB2312" w:cs="仿宋_GB2312" w:eastAsia="仿宋_GB2312"/>
                <w:sz w:val="24"/>
                <w:b/>
              </w:rPr>
              <w:t>四、</w:t>
            </w:r>
            <w:r>
              <w:rPr>
                <w:rFonts w:ascii="仿宋_GB2312" w:hAnsi="仿宋_GB2312" w:cs="仿宋_GB2312" w:eastAsia="仿宋_GB2312"/>
                <w:sz w:val="24"/>
                <w:b/>
              </w:rPr>
              <w:t>质量标准：合格</w:t>
            </w:r>
          </w:p>
          <w:p>
            <w:pPr>
              <w:pStyle w:val="null3"/>
              <w:jc w:val="left"/>
            </w:pPr>
            <w:r>
              <w:rPr>
                <w:rFonts w:ascii="仿宋_GB2312" w:hAnsi="仿宋_GB2312" w:cs="仿宋_GB2312" w:eastAsia="仿宋_GB2312"/>
                <w:sz w:val="24"/>
                <w:b/>
              </w:rPr>
              <w:t>五：工期：</w:t>
            </w:r>
            <w:r>
              <w:rPr>
                <w:rFonts w:ascii="仿宋_GB2312" w:hAnsi="仿宋_GB2312" w:cs="仿宋_GB2312" w:eastAsia="仿宋_GB2312"/>
                <w:sz w:val="24"/>
                <w:b/>
              </w:rPr>
              <w:t>60日历天</w:t>
            </w:r>
          </w:p>
          <w:p>
            <w:pPr>
              <w:pStyle w:val="null3"/>
              <w:jc w:val="left"/>
            </w:pPr>
            <w:r>
              <w:rPr>
                <w:rFonts w:ascii="仿宋_GB2312" w:hAnsi="仿宋_GB2312" w:cs="仿宋_GB2312" w:eastAsia="仿宋_GB2312"/>
                <w:sz w:val="24"/>
                <w:b/>
              </w:rPr>
              <w:t>六、质保期：</w:t>
            </w:r>
            <w:r>
              <w:rPr>
                <w:rFonts w:ascii="仿宋_GB2312" w:hAnsi="仿宋_GB2312" w:cs="仿宋_GB2312" w:eastAsia="仿宋_GB2312"/>
                <w:sz w:val="24"/>
                <w:b/>
              </w:rPr>
              <w:t xml:space="preserve">1年   </w:t>
            </w:r>
            <w:r>
              <w:rPr>
                <w:rFonts w:ascii="仿宋_GB2312" w:hAnsi="仿宋_GB2312" w:cs="仿宋_GB2312" w:eastAsia="仿宋_GB2312"/>
                <w:sz w:val="21"/>
              </w:rPr>
              <w:t xml:space="preserve">         </w:t>
            </w:r>
          </w:p>
          <w:p>
            <w:pPr>
              <w:pStyle w:val="null3"/>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达到国家及行业标准及采购人要求“合格”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供应商主体资格；</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法定代表人或被授权委托人。</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供应商具有行政主管部门核发的市政公用工程施工总承包三级（含三级）及以上资质，且具有有效的安全生产许可证；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拟派项目经理须具备市政公用工程专业二级（含二级）以上注册建造师资格和安全生产考核合格B证，且无在建项目（需提供无在建承诺书）；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磋商保证金.docx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一、评审内容：供应商针对本项目编制完善的施工部署,内容包含： ①施工目标；②施工准备 ；③施工平面布置与安排。 二、评审标准 ：1、完整性：方案必须全面,对评审内容中的各项要求有详细描述；2、可实施性：切合本项目实际情况，提出步骤清晰、合理的方案;3、针对性：方案能够紧扣项目实际情况，内容科学合理。 三、赋分标准（满分6分）：方案内容全面详细、提出步骤清晰、合理，切合本项目实际情况的方案，完全符合本项目采购要求得6分。评审内容每缺一项扣2分，评审内容有缺陷（缺陷指内容明显错误、描述过于简单、与项目特点不匹配、凭空编造、逻辑漏洞、出现常识性错误或不适用本项目特性等）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1.总体施工方案.docx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一、评审内容:供应商针对本项目编制完善的质量保证措施，内容包含:①施工质量的检验制度;②确保质量的技术组织措施;③施工质量控制措施。 二、评审标准:1、完整性:方案必须全面，对评审内容中的各项要求有详细描述;2、可实施性:切合本项目实际情况，提出步骤清晰、合理的方案;3、针对性:方案能够紧扣项目实际情况，内容科学合理。 三、赋分标准(满分9分):方案内容全面详细、提出步骤清晰、合理，切合本项目实际情况的方案，完全符合本项目采购要求得9分。评审内容每缺一项扣3分，评审内容有缺陷（缺陷指内容明显错误、描述过于简单、与项目特点不匹配、凭空编造、逻辑漏洞、出现常识性错误或不适用本项目特性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2.质量保证措施.docx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 ②进度计划保证措施 ;③工期保证措施。 二、评审标准 :1、完整性:方案必须全面，对评审内容中的各项要求有详细描述;2、可实施性:切合本项目实际情况，提出步骤清晰、合理的方案;3、针对性:方案能够紧扣项目实际情况，内容科学合理。 三、赋分标准(满分9分):方案内容全面详细、提出步骤清晰、合理，切合本项目实际情况，完全符合本项目采购要求得9分。评审内容每缺一项扣3分，评审内容有缺陷（缺陷指内容明显错误、描述过于简单、与项目特点不匹配、凭空编造、逻辑漏洞、出现常识性错误或不适用本项目特性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3.施工进度计划.docx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一、评审内容:供应商针对本项目编制完整的安全施工措施，内容包含:①安全生产管理制度; ②安全施工措施;③安全应急预案;④安全生产教育。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满分8分):方案内容全面详细、提出步骤清晰、合理，切合本项目实际情况，完全符合本项目采购要求得8分。评审内容每缺一项扣2分，评审内容有缺陷（缺陷指内容明显错误、描述过于简单、与项目特点不匹配、凭空编造、逻辑漏洞、出现常识性错误或不适用本项目特性等）的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4.安全施工措施.docx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 ①文明施工管理目标及技术措施;②文明施工现场管理:材料管理、防扰民措施。 二、评审标准:1、完整性:方案必须全面，对评审内容中的各项要求有详细描述;2、可实施性:切合本项目实际情况,提出步骤清晰、合理的方案;3、针对性:方案能够紧扣项目实际情况，内容科学合理。 三、赋分标准(满分6分):方案内容全面详细、提出步骤清晰、合理，切合本项目实际情况，完全符合本项目采购要求得6分。评审内容每缺一项扣3分，评审内容有缺陷（缺陷指内容明显错误、描述过于简单、与项目特点不匹配、凭空编造、逻辑漏洞、出现常识性错误或不适用本项目特性等）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5.文明施工措施.docx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一、评审内容:供应商针对本项目编制完善的资源配置计划，内容包含:①劳动力资源配置计划;②施工机械设备投入计划;③主要施工材料供应计划。 二、评审标准:1、完整性:方案必须全面，对评审内容中的各项要求有详细描述;2、可实施性:切合本项目实际情况，提出步骤清晰、合理的方案;3、针对性:方案能够紧扣项目实际情况，内容科学合理。 三、赋分标准(满分9.0 分):方案内容全面详细、提出步骤清晰、合理，切合本项目实际情况，完全符合本项目采购要求得9.0分。评审内容每缺一项扣3分，评审内容有缺陷（缺陷指内容明显错误、描述过于简单、与项目特点不匹配、凭空编造、逻辑漏洞、出现常识性错误或不适用本项目特性等）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6.资源配置计划.docx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一、评审内容：①针对项目实施过程中可能出现的恶劣天气、自然灾害；②针对项目实施过程中可能出现的公共活动等突发情况；二、评审标准: 1、制定专项应急方案，明确具体处置措施（如暴雨时暂停施工、启用临时排水设备；2、洪涝时组织设备转移），明确应急响应流程、应急物资清单及责任人，方案可直接落地执行。 三、赋分标准(满分5分) 以上内容明确具体、方案可直接落地执行得5.0分。评审内容每缺一项扣2.5分,评审内容有缺陷（缺陷指内容明显错误、描述过于简单、与项目特点不匹配、凭空编造、逻辑漏洞、出现常识性错误或不适用本项目特性等）的扣1分，扣完为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7.针对突发事件应急保证措施.docx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提供2023年1月至今完成过类似业绩，提供一个得2.5分，最高可得5分；评审依据：提供加盖公章的中标通知书、合同协议书，时间以签订的施工合同签订时间为准，此项未提供不得分。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8、类似业绩情况表.docx</w:t>
            </w:r>
          </w:p>
        </w:tc>
      </w:tr>
      <w:tr>
        <w:tc>
          <w:tcPr>
            <w:tcW w:type="dxa" w:w="831"/>
            <w:vMerge/>
          </w:tcPr>
          <w:p/>
        </w:tc>
        <w:tc>
          <w:tcPr>
            <w:tcW w:type="dxa" w:w="1661"/>
          </w:tcPr>
          <w:p>
            <w:pPr>
              <w:pStyle w:val="null3"/>
            </w:pPr>
            <w:r>
              <w:rPr>
                <w:rFonts w:ascii="仿宋_GB2312" w:hAnsi="仿宋_GB2312" w:cs="仿宋_GB2312" w:eastAsia="仿宋_GB2312"/>
              </w:rPr>
              <w:t>项目拟派人员安排</w:t>
            </w:r>
          </w:p>
        </w:tc>
        <w:tc>
          <w:tcPr>
            <w:tcW w:type="dxa" w:w="2492"/>
          </w:tcPr>
          <w:p>
            <w:pPr>
              <w:pStyle w:val="null3"/>
            </w:pPr>
            <w:r>
              <w:rPr>
                <w:rFonts w:ascii="仿宋_GB2312" w:hAnsi="仿宋_GB2312" w:cs="仿宋_GB2312" w:eastAsia="仿宋_GB2312"/>
              </w:rPr>
              <w:t>一、评审内容：拟派技术负责人 1 名及其他管理人员。其他人员包括但不限于施工员、质量员、材料员、安全员、资料员。 二、评审标准:（1）技术负责人：具备相关专业中级及以上技术职称证书，须提供职称证书复印件并加盖供应商公章。 （2）其他人员：须配置施工员、质量员、材料员、安全员、资料员 5 个岗位，每个岗位至少配备 1 名人员；所有人员须具备对应岗位资格证书，提供清晰可辨的资格证书复印件并加盖供应商公章。 三、赋分标准（满分2.5分）:技术负责人（1分）：提供相关专业中级及以上技术职称证书且符合要求的，得1分；未提供、证书无效或专业不符的，不得分。其他人员：所有人员须齐全且具备对应岗位资格证书，提供清晰可辨的资格证书得1.5分，每缺一个岗位人员扣0.3分，不提供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9.项目拟派人员安排.docx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一、评审内容：供应商针对本项目编制完善的分部分项工程施工方案，内容包含： ①工程重难点及解决措施； ②分部分项工程施工方法；③施工质量通病防治措施。 二、评审标准：1、完整性：方案必须全面，对评审内容中的各项要求有详细描述； 2、可实施性：切合本项目实际情况，提出步骤清晰、合理的方案； 3、针对性：方案能够紧扣项目实际情况，内容科学合理。 三、赋分标准（满分6分）： 以上内容全面详细完整、合理具体、步骤清晰、方案合理、紧扣项目实际情况得6分。 评审内容每缺一项扣2分,评审内容有缺陷（缺陷指内容明显错误、描述过于简单、与项目特点不匹配、凭空编造、逻辑漏洞、出现常识性错误或不适用本项目特性等）的扣1分，扣完为止,未提供不得分。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10.分部分项工程施工方案.docx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一、评审内容：结合本项目的实际，供应商应依据国家相关规定对工程质量编制保修方案，内容包含：①维修措施；②保修责任；③保修承诺。 二、评审标准：1、完整性：内容必须全面，对评审内容中的各项要求有详细描述；2、落实性：合项目具体情况，提出责任明确、要求具体的方案；3、针对性：内容能够紧扣项目实际情况，内容科学合理。三、赋分标准(满分 4.5 分)： 以上内容全面详细完整、合理具体、科学合理且完全符合本项目采购要求得4.5分。 评审内容每缺一项扣1.5分,评审内容有缺陷（缺陷指内容明显错误、描述过于简单、与项目特点不匹配、凭空编造、逻辑漏洞、出现常识性错误或不适用本项目特性等）的扣1分，扣完为止,未提供不得分。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11.保修方案.docx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详见附件：1.总体施工方案.docx</w:t>
      </w:r>
    </w:p>
    <w:p>
      <w:pPr>
        <w:pStyle w:val="null3"/>
        <w:ind w:firstLine="960"/>
      </w:pPr>
      <w:r>
        <w:rPr>
          <w:rFonts w:ascii="仿宋_GB2312" w:hAnsi="仿宋_GB2312" w:cs="仿宋_GB2312" w:eastAsia="仿宋_GB2312"/>
        </w:rPr>
        <w:t>详见附件：2.质量保证措施.docx</w:t>
      </w:r>
    </w:p>
    <w:p>
      <w:pPr>
        <w:pStyle w:val="null3"/>
        <w:ind w:firstLine="960"/>
      </w:pPr>
      <w:r>
        <w:rPr>
          <w:rFonts w:ascii="仿宋_GB2312" w:hAnsi="仿宋_GB2312" w:cs="仿宋_GB2312" w:eastAsia="仿宋_GB2312"/>
        </w:rPr>
        <w:t>详见附件：3.施工进度计划.docx</w:t>
      </w:r>
    </w:p>
    <w:p>
      <w:pPr>
        <w:pStyle w:val="null3"/>
        <w:ind w:firstLine="960"/>
      </w:pPr>
      <w:r>
        <w:rPr>
          <w:rFonts w:ascii="仿宋_GB2312" w:hAnsi="仿宋_GB2312" w:cs="仿宋_GB2312" w:eastAsia="仿宋_GB2312"/>
        </w:rPr>
        <w:t>详见附件：4.安全施工措施.docx</w:t>
      </w:r>
    </w:p>
    <w:p>
      <w:pPr>
        <w:pStyle w:val="null3"/>
        <w:ind w:firstLine="960"/>
      </w:pPr>
      <w:r>
        <w:rPr>
          <w:rFonts w:ascii="仿宋_GB2312" w:hAnsi="仿宋_GB2312" w:cs="仿宋_GB2312" w:eastAsia="仿宋_GB2312"/>
        </w:rPr>
        <w:t>详见附件：5.文明施工措施.docx</w:t>
      </w:r>
    </w:p>
    <w:p>
      <w:pPr>
        <w:pStyle w:val="null3"/>
        <w:ind w:firstLine="960"/>
      </w:pPr>
      <w:r>
        <w:rPr>
          <w:rFonts w:ascii="仿宋_GB2312" w:hAnsi="仿宋_GB2312" w:cs="仿宋_GB2312" w:eastAsia="仿宋_GB2312"/>
        </w:rPr>
        <w:t>详见附件：6.资源配置计划.docx</w:t>
      </w:r>
    </w:p>
    <w:p>
      <w:pPr>
        <w:pStyle w:val="null3"/>
        <w:ind w:firstLine="960"/>
      </w:pPr>
      <w:r>
        <w:rPr>
          <w:rFonts w:ascii="仿宋_GB2312" w:hAnsi="仿宋_GB2312" w:cs="仿宋_GB2312" w:eastAsia="仿宋_GB2312"/>
        </w:rPr>
        <w:t>详见附件：7.针对突发事件应急保证措施.docx</w:t>
      </w:r>
    </w:p>
    <w:p>
      <w:pPr>
        <w:pStyle w:val="null3"/>
        <w:ind w:firstLine="960"/>
      </w:pPr>
      <w:r>
        <w:rPr>
          <w:rFonts w:ascii="仿宋_GB2312" w:hAnsi="仿宋_GB2312" w:cs="仿宋_GB2312" w:eastAsia="仿宋_GB2312"/>
        </w:rPr>
        <w:t>详见附件：8、类似业绩情况表.docx</w:t>
      </w:r>
    </w:p>
    <w:p>
      <w:pPr>
        <w:pStyle w:val="null3"/>
        <w:ind w:firstLine="960"/>
      </w:pPr>
      <w:r>
        <w:rPr>
          <w:rFonts w:ascii="仿宋_GB2312" w:hAnsi="仿宋_GB2312" w:cs="仿宋_GB2312" w:eastAsia="仿宋_GB2312"/>
        </w:rPr>
        <w:t>详见附件：9.项目拟派人员安排.docx</w:t>
      </w:r>
    </w:p>
    <w:p>
      <w:pPr>
        <w:pStyle w:val="null3"/>
        <w:ind w:firstLine="960"/>
      </w:pPr>
      <w:r>
        <w:rPr>
          <w:rFonts w:ascii="仿宋_GB2312" w:hAnsi="仿宋_GB2312" w:cs="仿宋_GB2312" w:eastAsia="仿宋_GB2312"/>
        </w:rPr>
        <w:t>详见附件：10.分部分项工程施工方案.docx</w:t>
      </w:r>
    </w:p>
    <w:p>
      <w:pPr>
        <w:pStyle w:val="null3"/>
        <w:ind w:firstLine="960"/>
      </w:pPr>
      <w:r>
        <w:rPr>
          <w:rFonts w:ascii="仿宋_GB2312" w:hAnsi="仿宋_GB2312" w:cs="仿宋_GB2312" w:eastAsia="仿宋_GB2312"/>
        </w:rPr>
        <w:t>详见附件：11.保修方案.docx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