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版本号：ZQX-ZC2026080320260803001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2026年南郑区阳春镇公益事业基础设施提升改造建设项目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ZQX-ZC20260803</w:t>
      </w:r>
      <w:r>
        <w:br/>
      </w:r>
      <w:r>
        <w:br/>
      </w:r>
      <w:r>
        <w:br/>
      </w:r>
    </w:p>
    <w:p>
      <w:pPr>
        <w:pStyle w:val="null3"/>
        <w:jc w:val="center"/>
        <w:outlineLvl w:val="2"/>
      </w:pPr>
      <w:r>
        <w:rPr>
          <w:rFonts w:ascii="仿宋_GB2312" w:hAnsi="仿宋_GB2312" w:cs="仿宋_GB2312" w:eastAsia="仿宋_GB2312"/>
          <w:sz w:val="28"/>
          <w:b/>
        </w:rPr>
        <w:t>汉中市南郑区阳春镇人民政府</w:t>
      </w:r>
    </w:p>
    <w:p>
      <w:pPr>
        <w:pStyle w:val="null3"/>
        <w:jc w:val="center"/>
        <w:outlineLvl w:val="2"/>
      </w:pPr>
      <w:r>
        <w:rPr>
          <w:rFonts w:ascii="仿宋_GB2312" w:hAnsi="仿宋_GB2312" w:cs="仿宋_GB2312" w:eastAsia="仿宋_GB2312"/>
          <w:sz w:val="28"/>
          <w:b/>
        </w:rPr>
        <w:t>中启信项目咨询有限公司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中启信项目咨询有限公司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汉中市南郑区阳春镇人民政府</w:t>
      </w:r>
      <w:r>
        <w:rPr>
          <w:rFonts w:ascii="仿宋_GB2312" w:hAnsi="仿宋_GB2312" w:cs="仿宋_GB2312" w:eastAsia="仿宋_GB2312"/>
        </w:rPr>
        <w:t>委托，拟对</w:t>
      </w:r>
      <w:r>
        <w:rPr>
          <w:rFonts w:ascii="仿宋_GB2312" w:hAnsi="仿宋_GB2312" w:cs="仿宋_GB2312" w:eastAsia="仿宋_GB2312"/>
        </w:rPr>
        <w:t>2026年南郑区阳春镇公益事业基础设施提升改造建设项目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ZQX-ZC20260803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2026年南郑区阳春镇公益事业基础设施提升改造建设项目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该项目建设地点位于陕西省汉中市南郑区阳春镇，主要建设内容：1、铺设18cm厚混凝土道路；2、埋设双壁波纹管473.94m；3、钻150m深抗旱井等。具体内容详见工程量清单。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采购包1（2026年南郑区阳春镇公益事业基础设施提升改造建设项目）：属于专门面向中小企业采购。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供应商资质及拟派项目负责人资格：供应商须具有建设行政主管部门颁发的市政公用工程施工总承包三级及以上资质，具有有效的安全生产许可证；拟派项目经理须具有市政公用工程专业注册建造师二级及以上资格和安全生产考核合格B证，且无在建项目；</w:t>
      </w:r>
    </w:p>
    <w:p>
      <w:pPr>
        <w:pStyle w:val="null3"/>
      </w:pPr>
      <w:r>
        <w:rPr>
          <w:rFonts w:ascii="仿宋_GB2312" w:hAnsi="仿宋_GB2312" w:cs="仿宋_GB2312" w:eastAsia="仿宋_GB2312"/>
        </w:rPr>
        <w:t>4、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pPr>
      <w:r>
        <w:rPr>
          <w:rFonts w:ascii="仿宋_GB2312" w:hAnsi="仿宋_GB2312" w:cs="仿宋_GB2312" w:eastAsia="仿宋_GB2312"/>
        </w:rPr>
        <w:t>5、非联合体投标承诺函：本项目不接受联合体投标，单位负责人为同一人或者存在直接控股、管理关系的不同单位，不得同时参加本项目投标（提供书面承诺函）。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汉中市南郑区阳春镇人民政府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汉中市南郑县阳春镇安坎村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汉中市南郑区阳春镇人民政府经办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13669160613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中启信项目咨询有限公司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陕西省西安市雁塔区南二环路西段88号老三届世纪星大度15E</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13389282762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采购包1：990,316.53元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开户名称：中启信项目咨询有限公司</w:t>
            </w:r>
          </w:p>
          <w:p>
            <w:pPr>
              <w:pStyle w:val="null3"/>
            </w:pPr>
            <w:r>
              <w:rPr>
                <w:rFonts w:ascii="仿宋_GB2312" w:hAnsi="仿宋_GB2312" w:cs="仿宋_GB2312" w:eastAsia="仿宋_GB2312"/>
              </w:rPr>
              <w:t>开户银行：中国建设银行股份有限公司西安兴庆路支行</w:t>
            </w:r>
          </w:p>
          <w:p>
            <w:pPr>
              <w:pStyle w:val="null3"/>
            </w:pPr>
            <w:r>
              <w:rPr>
                <w:rFonts w:ascii="仿宋_GB2312" w:hAnsi="仿宋_GB2312" w:cs="仿宋_GB2312" w:eastAsia="仿宋_GB2312"/>
              </w:rPr>
              <w:t>银行账号：6105 0173 0012 0000 2516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标代理服务收费管理暂行办法的通知》(计价格[2002】1980号)和国家发改委办公厅国发的《关于招标代理服务收费有关问题的通知》(发改办价格【2003】857号)文件规定的收费标准，中标/成交供应商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汉中市南郑区阳春镇人民政府</w:t>
      </w:r>
      <w:r>
        <w:rPr>
          <w:rFonts w:ascii="仿宋_GB2312" w:hAnsi="仿宋_GB2312" w:cs="仿宋_GB2312" w:eastAsia="仿宋_GB2312"/>
        </w:rPr>
        <w:t>和</w:t>
      </w:r>
      <w:r>
        <w:rPr>
          <w:rFonts w:ascii="仿宋_GB2312" w:hAnsi="仿宋_GB2312" w:cs="仿宋_GB2312" w:eastAsia="仿宋_GB2312"/>
        </w:rPr>
        <w:t>中启信项目咨询有限公司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汉中市南郑区阳春镇人民政府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中启信项目咨询有限公司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汉中市南郑区阳春镇人民政府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中启信项目咨询有限公司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《建筑工程施工质量验收统一标准》GB50300-2013等相关质量验收规范要求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联系人：张玮</w:t>
      </w:r>
    </w:p>
    <w:p>
      <w:pPr>
        <w:pStyle w:val="null3"/>
      </w:pPr>
      <w:r>
        <w:rPr>
          <w:rFonts w:ascii="仿宋_GB2312" w:hAnsi="仿宋_GB2312" w:cs="仿宋_GB2312" w:eastAsia="仿宋_GB2312"/>
        </w:rPr>
        <w:t>联系电话：13389282762</w:t>
      </w:r>
    </w:p>
    <w:p>
      <w:pPr>
        <w:pStyle w:val="null3"/>
      </w:pPr>
      <w:r>
        <w:rPr>
          <w:rFonts w:ascii="仿宋_GB2312" w:hAnsi="仿宋_GB2312" w:cs="仿宋_GB2312" w:eastAsia="仿宋_GB2312"/>
        </w:rPr>
        <w:t>地址：陕西省西安市雁塔区南二环路西段88号老三届世纪星大度15E</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990,316.53</w:t>
      </w:r>
    </w:p>
    <w:p>
      <w:pPr>
        <w:pStyle w:val="null3"/>
      </w:pPr>
      <w:r>
        <w:rPr>
          <w:rFonts w:ascii="仿宋_GB2312" w:hAnsi="仿宋_GB2312" w:cs="仿宋_GB2312" w:eastAsia="仿宋_GB2312"/>
        </w:rPr>
        <w:t>采购包最高限价（元）: 990,316.53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2026年南郑区阳春镇公益事业基础设施提升改造建设项目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990,316.53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标的名称：2026年南郑区阳春镇公益事业基础设施提升改造建设项目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60日历天</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工程质量：合格，满足设计文件及相关规范要求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质保期：</w:t>
            </w:r>
            <w:r>
              <w:rPr>
                <w:rFonts w:ascii="仿宋_GB2312" w:hAnsi="仿宋_GB2312" w:cs="仿宋_GB2312" w:eastAsia="仿宋_GB2312"/>
                <w:sz w:val="21"/>
              </w:rPr>
              <w:t>2年</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安全目标：项目建设期内无安全事故发生</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《建筑工程施工质量验收统一标准》GB50300-2013等相关质量验收规范要求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须具有建设行政主管部门颁发的市政公用工程施工总承包三级及以上资质，具有有效的安全生产许可证；拟派项目经理须具有市政公用工程专业注册建造师二级及以上资格和安全生产考核合格B证，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已标价工程量清单 供应商应提交的相关资格证明材料.docx 项目管理机构组成表 中小企业声明函 残疾人福利性单位声明函 技术服务合同条款及其他商务要求应答表 标的清单 供应商类似项目业绩一览表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响应文件未出现磋商文件、法律法规规定的无效响应情形</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供应商针对本项目编制施工总体方案：包括但不限于：①施工方法（工艺）；②施工组织和施工程序；③现场平面布置；④技术组织措施。满分10分。每有一项缺项扣2.5分；每有一处内容存在缺陷，扣 0.5分，扣完为止。备注：缺陷是指内容不合理、虽有内容但不完善、内容表述前后不一致、套用其他项目方案或与项目需求不匹配及其他不利于项目实施的等任意一种情形。未提供不得分。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供应商针对本项目编制完善的质量保证措施，内容包含但不限于：①施工质量的检验制度；②确保质量的技术组织措施；③施工质量控制措施。满分6分。每有一项缺项扣2分；每有一处内容存在缺陷，扣 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供应商应针对本项目编制施工组织计划：包括但不限于①施工进度计划及保障措施、②交叉作业的协调方案、③工期保证措施；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安全生产方案</w:t>
            </w:r>
          </w:p>
        </w:tc>
        <w:tc>
          <w:tcPr>
            <w:tcW w:type="dxa" w:w="2492"/>
          </w:tcPr>
          <w:p>
            <w:pPr>
              <w:pStyle w:val="null3"/>
            </w:pPr>
            <w:r>
              <w:rPr>
                <w:rFonts w:ascii="仿宋_GB2312" w:hAnsi="仿宋_GB2312" w:cs="仿宋_GB2312" w:eastAsia="仿宋_GB2312"/>
              </w:rPr>
              <w:t>供应商应针对本项目编制安全生产方案：包括但不限于①安全生产管理制度；②配置安全组织机构；③安全隐患排查、整改制度；④应急保障预案等。 满分8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供应商应针对本项目编制文明施工及环境保护组织措施：包括但不限于①文明及环境保护管理制度；②防尘降噪、治污减霾措施；③节能减排措施； ④文明及环境保护施工监督检查机制等。 满分 4 分。每有一项缺项扣 1 分；每有一处内容存在缺陷，扣 0.5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供应商针对本项目编制完善的资源配置计划，内容包含但不限于：①劳动力资源配置计划；②施工机械设备投入计划；③主要施工材料供应计划。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 2023年1月1日起（以竣工验收时间为准）至本项目递交截止时间止类似工程业绩，每有1项得3 分，最多得6 分。 评审依据：以投标人提供的中标通知书或施工合同复印件为准。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项目部管理人员配置</w:t>
            </w:r>
          </w:p>
        </w:tc>
        <w:tc>
          <w:tcPr>
            <w:tcW w:type="dxa" w:w="2492"/>
          </w:tcPr>
          <w:p>
            <w:pPr>
              <w:pStyle w:val="null3"/>
            </w:pPr>
            <w:r>
              <w:rPr>
                <w:rFonts w:ascii="仿宋_GB2312" w:hAnsi="仿宋_GB2312" w:cs="仿宋_GB2312" w:eastAsia="仿宋_GB2312"/>
              </w:rPr>
              <w:t>1.项目技术负责人具有工程类中级及以上技术职称，得4分；2.项目所配备的施工员、质量员、安全员、材料员、资料员具有相关岗位证书（或职业资格），全部满足得10分，每缺少一人或相应人员无证书证件扣 2 分，扣完为止。（供应商应提供相关人员证书证件复印件作为佐证材料，且上述人员必须为供应商员工，提供社保证明或其他能证明劳动关系的证明材料）</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工程质保承诺</w:t>
            </w:r>
          </w:p>
        </w:tc>
        <w:tc>
          <w:tcPr>
            <w:tcW w:type="dxa" w:w="2492"/>
          </w:tcPr>
          <w:p>
            <w:pPr>
              <w:pStyle w:val="null3"/>
            </w:pPr>
            <w:r>
              <w:rPr>
                <w:rFonts w:ascii="仿宋_GB2312" w:hAnsi="仿宋_GB2312" w:cs="仿宋_GB2312" w:eastAsia="仿宋_GB2312"/>
              </w:rPr>
              <w:t>供应商应编制适用于本项目的工程质量保证承诺书，内容应包含①保修范围；②保修期限；③质量保修责任；④售后响应时间。评分标准：承诺内容包含以上全部内容得10分，以上内容每有一项缺失扣2.5分。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满足磋商文件要求且磋商响应最低的报价（最后的响应报价）为评审基准价，其价格分为满分。其他磋商供应商的价格分统一按照下列公式计算：磋商报价得分=（评标基准价/评标价）×30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