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版本号：ZJXG2025049.1B520260522001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阅览室建设(四次)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ZJXG2025049.1B5</w:t>
      </w:r>
      <w:r>
        <w:br/>
      </w:r>
      <w:r>
        <w:br/>
      </w:r>
      <w:r>
        <w:br/>
      </w:r>
    </w:p>
    <w:p>
      <w:pPr>
        <w:pStyle w:val="null3"/>
        <w:jc w:val="center"/>
        <w:outlineLvl w:val="2"/>
      </w:pPr>
      <w:r>
        <w:rPr>
          <w:rFonts w:ascii="仿宋_GB2312" w:hAnsi="仿宋_GB2312" w:cs="仿宋_GB2312" w:eastAsia="仿宋_GB2312"/>
          <w:sz w:val="28"/>
          <w:b/>
        </w:rPr>
        <w:t>西安市第三十八中学</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西安市第三十八中学</w:t>
      </w:r>
      <w:r>
        <w:rPr>
          <w:rFonts w:ascii="仿宋_GB2312" w:hAnsi="仿宋_GB2312" w:cs="仿宋_GB2312" w:eastAsia="仿宋_GB2312"/>
        </w:rPr>
        <w:t>委托，拟对</w:t>
      </w:r>
      <w:r>
        <w:rPr>
          <w:rFonts w:ascii="仿宋_GB2312" w:hAnsi="仿宋_GB2312" w:cs="仿宋_GB2312" w:eastAsia="仿宋_GB2312"/>
        </w:rPr>
        <w:t>阅览室建设(四次)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ZJXG2025049.1B5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阅览室建设(四次)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西安市第三十八中学阅览室建设(四次)，详见竞争性磋商文件。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采购包1（阅览室建设）：属于专门面向中小企业采购。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2023或2024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2024年1月至今已缴纳的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2024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8、企业资质：供应商具有建设行政主管部门颁发的有效期内的钢结构工程专业承包三级及以上资质，且具备有效的安全生产许可证。供应商需在项目电子化交易系统中按要求上传相应证明文件并进行电子签章；</w:t>
      </w:r>
    </w:p>
    <w:p>
      <w:pPr>
        <w:pStyle w:val="null3"/>
      </w:pPr>
      <w:r>
        <w:rPr>
          <w:rFonts w:ascii="仿宋_GB2312" w:hAnsi="仿宋_GB2312" w:cs="仿宋_GB2312" w:eastAsia="仿宋_GB2312"/>
        </w:rPr>
        <w:t>9、企业人员资质：拟派项目经理须具备二级及以上注册建造师证书。专业：建筑工程。补充说明：同时具备有效期内的安全生产考核合格证书（安B证），本单位注册且无在建项目（提供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13、是否接受联合体投标：本项目不接受联合体投标，供应商需在项目电子化交易系统中按要求上传相应证明文件并进行电子签章。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西安市第三十八中学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西安市太华南路226号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029-86350069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曹增辉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采购包1：838,652.28元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西安市第三十八中学</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西安市第三十八中学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西安市第三十八中学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联系人：曹增辉</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838,652.28</w:t>
      </w:r>
    </w:p>
    <w:p>
      <w:pPr>
        <w:pStyle w:val="null3"/>
      </w:pPr>
      <w:r>
        <w:rPr>
          <w:rFonts w:ascii="仿宋_GB2312" w:hAnsi="仿宋_GB2312" w:cs="仿宋_GB2312" w:eastAsia="仿宋_GB2312"/>
        </w:rPr>
        <w:t>采购包最高限价（元）: 838,652.28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阅览室建设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838,652.28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标的名称：阅览室建设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465"/>
              <w:jc w:val="center"/>
            </w:pPr>
            <w:r>
              <w:rPr>
                <w:rFonts w:ascii="仿宋_GB2312" w:hAnsi="仿宋_GB2312" w:cs="仿宋_GB2312" w:eastAsia="仿宋_GB2312"/>
                <w:sz w:val="36"/>
                <w:b/>
              </w:rPr>
              <w:t>编</w:t>
            </w:r>
            <w:r>
              <w:rPr>
                <w:rFonts w:ascii="仿宋_GB2312" w:hAnsi="仿宋_GB2312" w:cs="仿宋_GB2312" w:eastAsia="仿宋_GB2312"/>
                <w:sz w:val="21"/>
                <w:b/>
              </w:rPr>
              <w:t xml:space="preserve"> </w:t>
            </w:r>
            <w:r>
              <w:rPr>
                <w:rFonts w:ascii="仿宋_GB2312" w:hAnsi="仿宋_GB2312" w:cs="仿宋_GB2312" w:eastAsia="仿宋_GB2312"/>
                <w:sz w:val="36"/>
                <w:b/>
              </w:rPr>
              <w:t>制</w:t>
            </w:r>
            <w:r>
              <w:rPr>
                <w:rFonts w:ascii="仿宋_GB2312" w:hAnsi="仿宋_GB2312" w:cs="仿宋_GB2312" w:eastAsia="仿宋_GB2312"/>
                <w:sz w:val="21"/>
                <w:b/>
              </w:rPr>
              <w:t xml:space="preserve"> </w:t>
            </w:r>
            <w:r>
              <w:rPr>
                <w:rFonts w:ascii="仿宋_GB2312" w:hAnsi="仿宋_GB2312" w:cs="仿宋_GB2312" w:eastAsia="仿宋_GB2312"/>
                <w:sz w:val="36"/>
                <w:b/>
              </w:rPr>
              <w:t>说</w:t>
            </w:r>
            <w:r>
              <w:rPr>
                <w:rFonts w:ascii="仿宋_GB2312" w:hAnsi="仿宋_GB2312" w:cs="仿宋_GB2312" w:eastAsia="仿宋_GB2312"/>
                <w:sz w:val="21"/>
                <w:b/>
              </w:rPr>
              <w:t xml:space="preserve"> </w:t>
            </w:r>
            <w:r>
              <w:rPr>
                <w:rFonts w:ascii="仿宋_GB2312" w:hAnsi="仿宋_GB2312" w:cs="仿宋_GB2312" w:eastAsia="仿宋_GB2312"/>
                <w:sz w:val="36"/>
                <w:b/>
              </w:rPr>
              <w:t>明</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项目概况</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工程名称：西安市第三十八中学阅览室改建项目（四次）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工程地点：西安市新城区</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工程内容：</w:t>
            </w:r>
            <w:r>
              <w:rPr>
                <w:rFonts w:ascii="仿宋_GB2312" w:hAnsi="仿宋_GB2312" w:cs="仿宋_GB2312" w:eastAsia="仿宋_GB2312"/>
                <w:sz w:val="24"/>
              </w:rPr>
              <w:t>施工图设计</w:t>
            </w:r>
            <w:r>
              <w:rPr>
                <w:rFonts w:ascii="仿宋_GB2312" w:hAnsi="仿宋_GB2312" w:cs="仿宋_GB2312" w:eastAsia="仿宋_GB2312"/>
                <w:sz w:val="24"/>
              </w:rPr>
              <w:t>内的</w:t>
            </w:r>
            <w:r>
              <w:rPr>
                <w:rFonts w:ascii="仿宋_GB2312" w:hAnsi="仿宋_GB2312" w:cs="仿宋_GB2312" w:eastAsia="仿宋_GB2312"/>
                <w:sz w:val="24"/>
              </w:rPr>
              <w:t>建筑结构及电气专业，详见工程量清单。</w:t>
            </w:r>
          </w:p>
          <w:p>
            <w:pPr>
              <w:pStyle w:val="null3"/>
              <w:jc w:val="both"/>
            </w:pPr>
            <w:r>
              <w:rPr>
                <w:rFonts w:ascii="仿宋_GB2312" w:hAnsi="仿宋_GB2312" w:cs="仿宋_GB2312" w:eastAsia="仿宋_GB2312"/>
                <w:sz w:val="28"/>
                <w:b/>
              </w:rPr>
              <w:t>二、编制依据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《陕西省建设工程工程量清单计价规则（</w:t>
            </w:r>
            <w:r>
              <w:rPr>
                <w:rFonts w:ascii="仿宋_GB2312" w:hAnsi="仿宋_GB2312" w:cs="仿宋_GB2312" w:eastAsia="仿宋_GB2312"/>
                <w:sz w:val="24"/>
              </w:rPr>
              <w:t>2009</w:t>
            </w:r>
            <w:r>
              <w:rPr>
                <w:rFonts w:ascii="仿宋_GB2312" w:hAnsi="仿宋_GB2312" w:cs="仿宋_GB2312" w:eastAsia="仿宋_GB2312"/>
                <w:sz w:val="24"/>
              </w:rPr>
              <w:t>）》和《陕西省建筑装饰、安装工程消耗量定额（</w:t>
            </w:r>
            <w:r>
              <w:rPr>
                <w:rFonts w:ascii="仿宋_GB2312" w:hAnsi="仿宋_GB2312" w:cs="仿宋_GB2312" w:eastAsia="仿宋_GB2312"/>
                <w:sz w:val="24"/>
              </w:rPr>
              <w:t>2004</w:t>
            </w:r>
            <w:r>
              <w:rPr>
                <w:rFonts w:ascii="仿宋_GB2312" w:hAnsi="仿宋_GB2312" w:cs="仿宋_GB2312" w:eastAsia="仿宋_GB2312"/>
                <w:sz w:val="24"/>
              </w:rPr>
              <w:t>）》及其补充定额和《陕西省建筑装饰、安装工程价目表</w:t>
            </w:r>
            <w:r>
              <w:rPr>
                <w:rFonts w:ascii="仿宋_GB2312" w:hAnsi="仿宋_GB2312" w:cs="仿宋_GB2312" w:eastAsia="仿宋_GB2312"/>
                <w:sz w:val="24"/>
              </w:rPr>
              <w:t>(2009)</w:t>
            </w:r>
            <w:r>
              <w:rPr>
                <w:rFonts w:ascii="仿宋_GB2312" w:hAnsi="仿宋_GB2312" w:cs="仿宋_GB2312" w:eastAsia="仿宋_GB2312"/>
                <w:sz w:val="24"/>
              </w:rPr>
              <w:t>》及与其相配套的费用定额；</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陕西省住房和城乡建设厅《关于调整我省建设工程计价依据的通知》陕建发</w:t>
            </w:r>
            <w:r>
              <w:rPr>
                <w:rFonts w:ascii="仿宋_GB2312" w:hAnsi="仿宋_GB2312" w:cs="仿宋_GB2312" w:eastAsia="仿宋_GB2312"/>
                <w:sz w:val="24"/>
              </w:rPr>
              <w:t>【</w:t>
            </w:r>
            <w:r>
              <w:rPr>
                <w:rFonts w:ascii="仿宋_GB2312" w:hAnsi="仿宋_GB2312" w:cs="仿宋_GB2312" w:eastAsia="仿宋_GB2312"/>
                <w:sz w:val="24"/>
              </w:rPr>
              <w:t>2019</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rPr>
              <w:t>号文件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陕西省住房和城乡建设厅《关于发布我省落实建筑工人实名制管理计价依据的通知》陕建发〔</w:t>
            </w:r>
            <w:r>
              <w:rPr>
                <w:rFonts w:ascii="仿宋_GB2312" w:hAnsi="仿宋_GB2312" w:cs="仿宋_GB2312" w:eastAsia="仿宋_GB2312"/>
                <w:sz w:val="24"/>
              </w:rPr>
              <w:t>2019</w:t>
            </w:r>
            <w:r>
              <w:rPr>
                <w:rFonts w:ascii="仿宋_GB2312" w:hAnsi="仿宋_GB2312" w:cs="仿宋_GB2312" w:eastAsia="仿宋_GB2312"/>
                <w:sz w:val="24"/>
              </w:rPr>
              <w:t>〕</w:t>
            </w:r>
            <w:r>
              <w:rPr>
                <w:rFonts w:ascii="仿宋_GB2312" w:hAnsi="仿宋_GB2312" w:cs="仿宋_GB2312" w:eastAsia="仿宋_GB2312"/>
                <w:sz w:val="24"/>
              </w:rPr>
              <w:t>1246</w:t>
            </w:r>
            <w:r>
              <w:rPr>
                <w:rFonts w:ascii="仿宋_GB2312" w:hAnsi="仿宋_GB2312" w:cs="仿宋_GB2312" w:eastAsia="仿宋_GB2312"/>
                <w:sz w:val="24"/>
              </w:rPr>
              <w:t>号；</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陕西省住房和城乡建设厅《关于建筑施工安全生产责任保险费用计价的通知》陕建发〔</w:t>
            </w:r>
            <w:r>
              <w:rPr>
                <w:rFonts w:ascii="仿宋_GB2312" w:hAnsi="仿宋_GB2312" w:cs="仿宋_GB2312" w:eastAsia="仿宋_GB2312"/>
                <w:sz w:val="24"/>
              </w:rPr>
              <w:t>2020</w:t>
            </w:r>
            <w:r>
              <w:rPr>
                <w:rFonts w:ascii="仿宋_GB2312" w:hAnsi="仿宋_GB2312" w:cs="仿宋_GB2312" w:eastAsia="仿宋_GB2312"/>
                <w:sz w:val="24"/>
              </w:rPr>
              <w:t>〕</w:t>
            </w:r>
            <w:r>
              <w:rPr>
                <w:rFonts w:ascii="仿宋_GB2312" w:hAnsi="仿宋_GB2312" w:cs="仿宋_GB2312" w:eastAsia="仿宋_GB2312"/>
                <w:sz w:val="24"/>
              </w:rPr>
              <w:t>1097</w:t>
            </w:r>
            <w:r>
              <w:rPr>
                <w:rFonts w:ascii="仿宋_GB2312" w:hAnsi="仿宋_GB2312" w:cs="仿宋_GB2312" w:eastAsia="仿宋_GB2312"/>
                <w:sz w:val="24"/>
              </w:rPr>
              <w:t>号文件；</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建设工程扬尘治理专项措施费执行陕西省住房和城乡建设厅《关于增加建设工程扬尘治理专项措施费及综合人工单价调整的通知》陕建发</w:t>
            </w:r>
            <w:r>
              <w:rPr>
                <w:rFonts w:ascii="仿宋_GB2312" w:hAnsi="仿宋_GB2312" w:cs="仿宋_GB2312" w:eastAsia="仿宋_GB2312"/>
                <w:sz w:val="24"/>
              </w:rPr>
              <w:t>〔</w:t>
            </w:r>
            <w:r>
              <w:rPr>
                <w:rFonts w:ascii="仿宋_GB2312" w:hAnsi="仿宋_GB2312" w:cs="仿宋_GB2312" w:eastAsia="仿宋_GB2312"/>
                <w:sz w:val="24"/>
              </w:rPr>
              <w:t>2017</w:t>
            </w:r>
            <w:r>
              <w:rPr>
                <w:rFonts w:ascii="仿宋_GB2312" w:hAnsi="仿宋_GB2312" w:cs="仿宋_GB2312" w:eastAsia="仿宋_GB2312"/>
                <w:sz w:val="24"/>
              </w:rPr>
              <w:t>〕</w:t>
            </w:r>
            <w:r>
              <w:rPr>
                <w:rFonts w:ascii="仿宋_GB2312" w:hAnsi="仿宋_GB2312" w:cs="仿宋_GB2312" w:eastAsia="仿宋_GB2312"/>
                <w:sz w:val="24"/>
              </w:rPr>
              <w:t>270</w:t>
            </w:r>
            <w:r>
              <w:rPr>
                <w:rFonts w:ascii="仿宋_GB2312" w:hAnsi="仿宋_GB2312" w:cs="仿宋_GB2312" w:eastAsia="仿宋_GB2312"/>
                <w:sz w:val="24"/>
              </w:rPr>
              <w:t>号文件；</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劳保统筹执行陕西省住房和城乡建设厅《关于全省统一停止收缴建筑业劳保费用的通知》陕建发</w:t>
            </w:r>
            <w:r>
              <w:rPr>
                <w:rFonts w:ascii="仿宋_GB2312" w:hAnsi="仿宋_GB2312" w:cs="仿宋_GB2312" w:eastAsia="仿宋_GB2312"/>
                <w:sz w:val="24"/>
              </w:rPr>
              <w:t>〔</w:t>
            </w:r>
            <w:r>
              <w:rPr>
                <w:rFonts w:ascii="仿宋_GB2312" w:hAnsi="仿宋_GB2312" w:cs="仿宋_GB2312" w:eastAsia="仿宋_GB2312"/>
                <w:sz w:val="24"/>
              </w:rPr>
              <w:t>2021</w:t>
            </w:r>
            <w:r>
              <w:rPr>
                <w:rFonts w:ascii="仿宋_GB2312" w:hAnsi="仿宋_GB2312" w:cs="仿宋_GB2312" w:eastAsia="仿宋_GB2312"/>
                <w:sz w:val="24"/>
              </w:rPr>
              <w:t>〕</w:t>
            </w:r>
            <w:r>
              <w:rPr>
                <w:rFonts w:ascii="仿宋_GB2312" w:hAnsi="仿宋_GB2312" w:cs="仿宋_GB2312" w:eastAsia="仿宋_GB2312"/>
                <w:sz w:val="24"/>
              </w:rPr>
              <w:t>1021</w:t>
            </w:r>
            <w:r>
              <w:rPr>
                <w:rFonts w:ascii="仿宋_GB2312" w:hAnsi="仿宋_GB2312" w:cs="仿宋_GB2312" w:eastAsia="仿宋_GB2312"/>
                <w:sz w:val="24"/>
              </w:rPr>
              <w:t>号文件；</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《关于加强建筑行业养老保险缴费用和养老保险费用计价监管有关事项的通知》（陕建发</w:t>
            </w:r>
            <w:r>
              <w:rPr>
                <w:rFonts w:ascii="仿宋_GB2312" w:hAnsi="仿宋_GB2312" w:cs="仿宋_GB2312" w:eastAsia="仿宋_GB2312"/>
                <w:sz w:val="24"/>
              </w:rPr>
              <w:t>〔</w:t>
            </w:r>
            <w:r>
              <w:rPr>
                <w:rFonts w:ascii="仿宋_GB2312" w:hAnsi="仿宋_GB2312" w:cs="仿宋_GB2312" w:eastAsia="仿宋_GB2312"/>
                <w:sz w:val="24"/>
              </w:rPr>
              <w:t>2021</w:t>
            </w:r>
            <w:r>
              <w:rPr>
                <w:rFonts w:ascii="仿宋_GB2312" w:hAnsi="仿宋_GB2312" w:cs="仿宋_GB2312" w:eastAsia="仿宋_GB2312"/>
                <w:sz w:val="24"/>
              </w:rPr>
              <w:t>〕</w:t>
            </w:r>
            <w:r>
              <w:rPr>
                <w:rFonts w:ascii="仿宋_GB2312" w:hAnsi="仿宋_GB2312" w:cs="仿宋_GB2312" w:eastAsia="仿宋_GB2312"/>
                <w:sz w:val="24"/>
              </w:rPr>
              <w:t>61</w:t>
            </w:r>
            <w:r>
              <w:rPr>
                <w:rFonts w:ascii="仿宋_GB2312" w:hAnsi="仿宋_GB2312" w:cs="仿宋_GB2312" w:eastAsia="仿宋_GB2312"/>
                <w:sz w:val="24"/>
              </w:rPr>
              <w:t>号）；</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人工费执行陕建发</w:t>
            </w:r>
            <w:r>
              <w:rPr>
                <w:rFonts w:ascii="仿宋_GB2312" w:hAnsi="仿宋_GB2312" w:cs="仿宋_GB2312" w:eastAsia="仿宋_GB2312"/>
                <w:sz w:val="24"/>
              </w:rPr>
              <w:t>〔</w:t>
            </w:r>
            <w:r>
              <w:rPr>
                <w:rFonts w:ascii="仿宋_GB2312" w:hAnsi="仿宋_GB2312" w:cs="仿宋_GB2312" w:eastAsia="仿宋_GB2312"/>
                <w:sz w:val="24"/>
              </w:rPr>
              <w:t>2021</w:t>
            </w:r>
            <w:r>
              <w:rPr>
                <w:rFonts w:ascii="仿宋_GB2312" w:hAnsi="仿宋_GB2312" w:cs="仿宋_GB2312" w:eastAsia="仿宋_GB2312"/>
                <w:sz w:val="24"/>
              </w:rPr>
              <w:t>〕</w:t>
            </w:r>
            <w:r>
              <w:rPr>
                <w:rFonts w:ascii="仿宋_GB2312" w:hAnsi="仿宋_GB2312" w:cs="仿宋_GB2312" w:eastAsia="仿宋_GB2312"/>
                <w:sz w:val="24"/>
              </w:rPr>
              <w:t>1097</w:t>
            </w:r>
            <w:r>
              <w:rPr>
                <w:rFonts w:ascii="仿宋_GB2312" w:hAnsi="仿宋_GB2312" w:cs="仿宋_GB2312" w:eastAsia="仿宋_GB2312"/>
                <w:sz w:val="24"/>
              </w:rPr>
              <w:t>号文件《关于调整房屋建筑和市政基础设施工程工程量清单计价综合人工单价的通知》；</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材料价格依据陕西省工程造价信息</w:t>
            </w: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年第</w:t>
            </w:r>
            <w:r>
              <w:rPr>
                <w:rFonts w:ascii="仿宋_GB2312" w:hAnsi="仿宋_GB2312" w:cs="仿宋_GB2312" w:eastAsia="仿宋_GB2312"/>
                <w:sz w:val="24"/>
              </w:rPr>
              <w:t>4</w:t>
            </w:r>
            <w:r>
              <w:rPr>
                <w:rFonts w:ascii="仿宋_GB2312" w:hAnsi="仿宋_GB2312" w:cs="仿宋_GB2312" w:eastAsia="仿宋_GB2312"/>
                <w:sz w:val="24"/>
              </w:rPr>
              <w:t>期</w:t>
            </w:r>
            <w:r>
              <w:rPr>
                <w:rFonts w:ascii="仿宋_GB2312" w:hAnsi="仿宋_GB2312" w:cs="仿宋_GB2312" w:eastAsia="仿宋_GB2312"/>
                <w:sz w:val="24"/>
              </w:rPr>
              <w:t>以及市场询价；</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正常施工组织设计、施工方法及标准图集；</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依据西安市第三十八中学阅览室改建项目施工图纸计算工程量；</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计价软件采用广联达云计价平台</w:t>
            </w:r>
            <w:r>
              <w:rPr>
                <w:rFonts w:ascii="仿宋_GB2312" w:hAnsi="仿宋_GB2312" w:cs="仿宋_GB2312" w:eastAsia="仿宋_GB2312"/>
                <w:sz w:val="24"/>
              </w:rPr>
              <w:t>GCCP</w:t>
            </w:r>
            <w:r>
              <w:rPr>
                <w:rFonts w:ascii="仿宋_GB2312" w:hAnsi="仿宋_GB2312" w:cs="仿宋_GB2312" w:eastAsia="仿宋_GB2312"/>
                <w:sz w:val="24"/>
              </w:rPr>
              <w:t xml:space="preserve"> 6.0</w:t>
            </w:r>
            <w:r>
              <w:rPr>
                <w:rFonts w:ascii="仿宋_GB2312" w:hAnsi="仿宋_GB2312" w:cs="仿宋_GB2312" w:eastAsia="仿宋_GB2312"/>
                <w:sz w:val="24"/>
              </w:rPr>
              <w:t xml:space="preserve"> </w:t>
            </w:r>
            <w:r>
              <w:rPr>
                <w:rFonts w:ascii="仿宋_GB2312" w:hAnsi="仿宋_GB2312" w:cs="仿宋_GB2312" w:eastAsia="仿宋_GB2312"/>
                <w:sz w:val="24"/>
              </w:rPr>
              <w:t>版本：</w:t>
            </w:r>
            <w:r>
              <w:rPr>
                <w:rFonts w:ascii="仿宋_GB2312" w:hAnsi="仿宋_GB2312" w:cs="仿宋_GB2312" w:eastAsia="仿宋_GB2312"/>
                <w:sz w:val="24"/>
              </w:rPr>
              <w:t>6.4100.23.</w:t>
            </w:r>
            <w:r>
              <w:rPr>
                <w:rFonts w:ascii="仿宋_GB2312" w:hAnsi="仿宋_GB2312" w:cs="仿宋_GB2312" w:eastAsia="仿宋_GB2312"/>
                <w:sz w:val="24"/>
              </w:rPr>
              <w:t>122</w:t>
            </w:r>
            <w:r>
              <w:rPr>
                <w:rFonts w:ascii="仿宋_GB2312" w:hAnsi="仿宋_GB2312" w:cs="仿宋_GB2312" w:eastAsia="仿宋_GB2312"/>
                <w:sz w:val="24"/>
              </w:rPr>
              <w:t>。</w:t>
            </w:r>
          </w:p>
          <w:p>
            <w:pPr>
              <w:pStyle w:val="null3"/>
              <w:jc w:val="left"/>
            </w:pPr>
            <w:r>
              <w:rPr>
                <w:rFonts w:ascii="仿宋_GB2312" w:hAnsi="仿宋_GB2312" w:cs="仿宋_GB2312" w:eastAsia="仿宋_GB2312"/>
                <w:sz w:val="28"/>
                <w:b/>
              </w:rPr>
              <w:t>三、其他说明</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本工程按商品混凝土、预拌干混砂浆、熟石灰进行计价</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本工程量清单所提供工程项目特征仅表达了主要工程做法，组价时应依据设计图纸、相关图集，结合招标文件，合同条款，技术规范、图纸、答疑纪要等进行组价。</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after="465"/>
              <w:jc w:val="center"/>
            </w:pPr>
            <w:r>
              <w:rPr>
                <w:rFonts w:ascii="仿宋_GB2312" w:hAnsi="仿宋_GB2312" w:cs="仿宋_GB2312" w:eastAsia="仿宋_GB2312"/>
                <w:sz w:val="36"/>
                <w:b/>
              </w:rPr>
              <w:t>商务要求</w:t>
            </w:r>
          </w:p>
          <w:p>
            <w:pPr>
              <w:pStyle w:val="null3"/>
              <w:jc w:val="both"/>
            </w:pPr>
            <w:r>
              <w:rPr>
                <w:rFonts w:ascii="仿宋_GB2312" w:hAnsi="仿宋_GB2312" w:cs="仿宋_GB2312" w:eastAsia="仿宋_GB2312"/>
                <w:sz w:val="24"/>
              </w:rPr>
              <w:t>付款方式：</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、工期：自合同签订之日起</w:t>
            </w:r>
            <w:r>
              <w:rPr>
                <w:rFonts w:ascii="仿宋_GB2312" w:hAnsi="仿宋_GB2312" w:cs="仿宋_GB2312" w:eastAsia="仿宋_GB2312"/>
                <w:sz w:val="24"/>
              </w:rPr>
              <w:t>50</w:t>
            </w:r>
            <w:r>
              <w:rPr>
                <w:rFonts w:ascii="仿宋_GB2312" w:hAnsi="仿宋_GB2312" w:cs="仿宋_GB2312" w:eastAsia="仿宋_GB2312"/>
                <w:sz w:val="24"/>
              </w:rPr>
              <w:t>日历天；</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、付款条件说明：合同签订后，达到付款条件起</w:t>
            </w:r>
            <w:r>
              <w:rPr>
                <w:rFonts w:ascii="仿宋_GB2312" w:hAnsi="仿宋_GB2312" w:cs="仿宋_GB2312" w:eastAsia="仿宋_GB2312"/>
                <w:sz w:val="24"/>
              </w:rPr>
              <w:t>30</w:t>
            </w:r>
            <w:r>
              <w:rPr>
                <w:rFonts w:ascii="仿宋_GB2312" w:hAnsi="仿宋_GB2312" w:cs="仿宋_GB2312" w:eastAsia="仿宋_GB2312"/>
                <w:sz w:val="24"/>
              </w:rPr>
              <w:t>日内，支付合同总金额的</w:t>
            </w:r>
            <w:r>
              <w:rPr>
                <w:rFonts w:ascii="仿宋_GB2312" w:hAnsi="仿宋_GB2312" w:cs="仿宋_GB2312" w:eastAsia="仿宋_GB2312"/>
                <w:sz w:val="24"/>
              </w:rPr>
              <w:t>40.00%</w:t>
            </w:r>
            <w:r>
              <w:rPr>
                <w:rFonts w:ascii="仿宋_GB2312" w:hAnsi="仿宋_GB2312" w:cs="仿宋_GB2312" w:eastAsia="仿宋_GB2312"/>
                <w:sz w:val="24"/>
              </w:rPr>
              <w:t>；工程全部竣工验收通过后，达到付款条件起</w:t>
            </w:r>
            <w:r>
              <w:rPr>
                <w:rFonts w:ascii="仿宋_GB2312" w:hAnsi="仿宋_GB2312" w:cs="仿宋_GB2312" w:eastAsia="仿宋_GB2312"/>
                <w:sz w:val="24"/>
              </w:rPr>
              <w:t>30</w:t>
            </w:r>
            <w:r>
              <w:rPr>
                <w:rFonts w:ascii="仿宋_GB2312" w:hAnsi="仿宋_GB2312" w:cs="仿宋_GB2312" w:eastAsia="仿宋_GB2312"/>
                <w:sz w:val="24"/>
              </w:rPr>
              <w:t>日内，支付合同总金额的</w:t>
            </w:r>
            <w:r>
              <w:rPr>
                <w:rFonts w:ascii="仿宋_GB2312" w:hAnsi="仿宋_GB2312" w:cs="仿宋_GB2312" w:eastAsia="仿宋_GB2312"/>
                <w:sz w:val="24"/>
              </w:rPr>
              <w:t>50.00%</w:t>
            </w:r>
            <w:r>
              <w:rPr>
                <w:rFonts w:ascii="仿宋_GB2312" w:hAnsi="仿宋_GB2312" w:cs="仿宋_GB2312" w:eastAsia="仿宋_GB2312"/>
                <w:sz w:val="24"/>
              </w:rPr>
              <w:t>；工程审计结束后，达到付款条件起</w:t>
            </w:r>
            <w:r>
              <w:rPr>
                <w:rFonts w:ascii="仿宋_GB2312" w:hAnsi="仿宋_GB2312" w:cs="仿宋_GB2312" w:eastAsia="仿宋_GB2312"/>
                <w:sz w:val="24"/>
              </w:rPr>
              <w:t>30</w:t>
            </w:r>
            <w:r>
              <w:rPr>
                <w:rFonts w:ascii="仿宋_GB2312" w:hAnsi="仿宋_GB2312" w:cs="仿宋_GB2312" w:eastAsia="仿宋_GB2312"/>
                <w:sz w:val="24"/>
              </w:rPr>
              <w:t>日内，支付合同总金额的</w:t>
            </w:r>
            <w:r>
              <w:rPr>
                <w:rFonts w:ascii="仿宋_GB2312" w:hAnsi="仿宋_GB2312" w:cs="仿宋_GB2312" w:eastAsia="仿宋_GB2312"/>
                <w:sz w:val="24"/>
              </w:rPr>
              <w:t>10.00%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3、质量要求：</w:t>
            </w:r>
            <w:r>
              <w:rPr>
                <w:rFonts w:ascii="仿宋_GB2312" w:hAnsi="仿宋_GB2312" w:cs="仿宋_GB2312" w:eastAsia="仿宋_GB2312"/>
                <w:sz w:val="24"/>
              </w:rPr>
              <w:t>达到国家及行业现行技术规范标准，符合国家及行业验收合格标准。</w:t>
            </w:r>
          </w:p>
          <w:p>
            <w:pPr>
              <w:pStyle w:val="null3"/>
              <w:jc w:val="both"/>
            </w:pPr>
            <w:r>
              <w:rPr>
                <w:rFonts w:ascii="仿宋_GB2312" w:hAnsi="仿宋_GB2312" w:cs="仿宋_GB2312" w:eastAsia="仿宋_GB2312"/>
                <w:sz w:val="24"/>
              </w:rPr>
              <w:t>4、质量保修期：</w:t>
            </w:r>
            <w:r>
              <w:rPr>
                <w:rFonts w:ascii="仿宋_GB2312" w:hAnsi="仿宋_GB2312" w:cs="仿宋_GB2312" w:eastAsia="仿宋_GB2312"/>
                <w:sz w:val="24"/>
              </w:rPr>
              <w:t>质量保修期其他工程为二年，防水工程为五年。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1.工期：自合同签订之日起50日历天。2.各供应商所有分项报价（与最后磋商报价比例一致）同比例下浮。3.合同签订后，达到付款条件起30日，支付合同总价款的40%；工程全部竣工验收通过后，达到付款条件起 30 日内，支付合同总金额的50.00%；工程审计结束后 ，达到付款条件起30日内，支付合同总金额的 10.00%。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报价函 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提供2024年1月至今已缴纳的1个月的纳税证明或完税证明，依法免税的单位应提供相关证明材料。此项可提供基本资格条件承诺函。供应商需在项目电子化交易系统中按要求上传相应证明文件并进行电子签章；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供应商具有建设行政主管部门颁发的有效期内的钢结构工程专业承包三级及以上资质，且具备有效的安全生产许可证。供应商需在项目电子化交易系统中按要求上传相应证明文件并进行电子签章；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企业人员资质</w:t>
            </w:r>
          </w:p>
        </w:tc>
        <w:tc>
          <w:tcPr>
            <w:tcW w:type="dxa" w:w="3322"/>
          </w:tcPr>
          <w:p>
            <w:pPr>
              <w:pStyle w:val="null3"/>
            </w:pPr>
            <w:r>
              <w:rPr>
                <w:rFonts w:ascii="仿宋_GB2312" w:hAnsi="仿宋_GB2312" w:cs="仿宋_GB2312" w:eastAsia="仿宋_GB2312"/>
              </w:rPr>
              <w:t>拟派项目经理须具备二级及以上注册建造师证书。专业：建筑工程。补充说明：同时具备有效期内的安全生产考核合格证书（安B证），本单位注册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报价函 供应商应提交的相关资格证明材料 供应商资格证明文件.docx 响应函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供应商应提交的相关资格证明材料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施工方案.docx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提供的投标产品中每有一项为节能产品（非强制类）经国家认证的得0.5分，每有一项为环境标志产品经国家认证的得0.5分，供应商投标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评审内容：①项目目标理解；②项目整体施工方案；③施工保障措施；④专项技术方案（含主要施工方法、组织措施、检验手段等）。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评审内容：①分析本项目进度目标及关键节点；②针对关键节点、具体环节提出相应进度保障措施；③根据本项目的工期要求，提供全面的确保工程按期按质完成的进度计划安排。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评审内容：①针对本项目制定切实可行的总体质量控制目标；②对质量控制目标进行合理分解、规划，确保本项目质量标准符合相关标准；③ 提供针对本项目的工程质量保证措施。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施工应急预案</w:t>
            </w:r>
          </w:p>
        </w:tc>
        <w:tc>
          <w:tcPr>
            <w:tcW w:type="dxa" w:w="2492"/>
          </w:tcPr>
          <w:p>
            <w:pPr>
              <w:pStyle w:val="null3"/>
            </w:pPr>
            <w:r>
              <w:rPr>
                <w:rFonts w:ascii="仿宋_GB2312" w:hAnsi="仿宋_GB2312" w:cs="仿宋_GB2312" w:eastAsia="仿宋_GB2312"/>
              </w:rPr>
              <w:t>评审内容：①项目实施的重点、难点进行分析；②针对重点、难点编制应急预案。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评审内容：①针对工程环境、特点分析安全隐患；②给出有针对性的安全生产、文明施工、环保施工、防尘降噪等保证措施。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评审内容：①项目管理机构人员岗位设置情况；②各岗位专业技术能力情况。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劳动力和材料投入计划</w:t>
            </w:r>
          </w:p>
        </w:tc>
        <w:tc>
          <w:tcPr>
            <w:tcW w:type="dxa" w:w="2492"/>
          </w:tcPr>
          <w:p>
            <w:pPr>
              <w:pStyle w:val="null3"/>
            </w:pPr>
            <w:r>
              <w:rPr>
                <w:rFonts w:ascii="仿宋_GB2312" w:hAnsi="仿宋_GB2312" w:cs="仿宋_GB2312" w:eastAsia="仿宋_GB2312"/>
              </w:rPr>
              <w:t>评审内容：①供应商针对本项目提供详细的劳动力和材料投入计划；②供应商针对本项目提供详细的劳动力和材料保证措施。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机械设备投入计划</w:t>
            </w:r>
          </w:p>
        </w:tc>
        <w:tc>
          <w:tcPr>
            <w:tcW w:type="dxa" w:w="2492"/>
          </w:tcPr>
          <w:p>
            <w:pPr>
              <w:pStyle w:val="null3"/>
            </w:pPr>
            <w:r>
              <w:rPr>
                <w:rFonts w:ascii="仿宋_GB2312" w:hAnsi="仿宋_GB2312" w:cs="仿宋_GB2312" w:eastAsia="仿宋_GB2312"/>
              </w:rPr>
              <w:t>评审内容：①机械设备投入计划；②机械设备的使用情况。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现场施工扬尘环境治理管理措施</w:t>
            </w:r>
          </w:p>
        </w:tc>
        <w:tc>
          <w:tcPr>
            <w:tcW w:type="dxa" w:w="2492"/>
          </w:tcPr>
          <w:p>
            <w:pPr>
              <w:pStyle w:val="null3"/>
            </w:pPr>
            <w:r>
              <w:rPr>
                <w:rFonts w:ascii="仿宋_GB2312" w:hAnsi="仿宋_GB2312" w:cs="仿宋_GB2312" w:eastAsia="仿宋_GB2312"/>
              </w:rPr>
              <w:t>评审内容：①分析现场施工扬尘的产生情况；②现场施工扬尘环境治理管理措施。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供应商自2022年6月以来承担过类似项目业绩。（以合同签订日期或中标通知书签署日期为准)；提供一项业绩得4分，最高得4分。须提供合同或中标通知书复印件并加盖公章，不提供不得分。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评审内容：①针对本项目的保修服务承诺；②针对本项目的优化建议。评审依据：每一项内容描述详细，切实可行符合项目实际内容得2分，①～②项合计得4分。内容①～②项任意一项缺项扣2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 2.满足竞争性磋商文件实质性要求且最后报价最低的供应商的价格为磋商基准价，其价格分为满分30分。 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