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版本号：SZY20261390064-1.1B120260724001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南校区1号学生公寓北侧广场区域改造(二次)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SZY20261390064-1.1B1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南校区1号学生公寓北侧广场区域改造(二次)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SZY20261390064-1.1B1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南校区1号学生公寓北侧广场区域改造(二次)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本项目改造面积约3300平方米,包含拆除工程、新建工程、翻新工程、电气工程、给排水工程、绿化景观工程等，具体详见工程量清单。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采购包1（南校区1号学生公寓北侧广场区域改造）：属于专门面向中小企业采购。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供应商应授权合法的人员参加磋商，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2、企业资质：供应商须具备建设行政主管部门颁发的市政公用工程施工总承包三级及以上资质，且具备合格有效的安全生产许可证。</w:t>
      </w:r>
    </w:p>
    <w:p>
      <w:pPr>
        <w:pStyle w:val="null3"/>
      </w:pPr>
      <w:r>
        <w:rPr>
          <w:rFonts w:ascii="仿宋_GB2312" w:hAnsi="仿宋_GB2312" w:cs="仿宋_GB2312" w:eastAsia="仿宋_GB2312"/>
        </w:rPr>
        <w:t>3、项目经理资质：拟派项目经理须具备市政公用工程专业二级及以上建造师资格，同时具备有效的安全生产考核合格证（建安B证），且在本单位注册，未担任其它在建工程的项目经理（提供无在建承诺书）。</w:t>
      </w:r>
    </w:p>
    <w:p>
      <w:pPr>
        <w:pStyle w:val="null3"/>
      </w:pPr>
      <w:r>
        <w:rPr>
          <w:rFonts w:ascii="仿宋_GB2312" w:hAnsi="仿宋_GB2312" w:cs="仿宋_GB2312" w:eastAsia="仿宋_GB2312"/>
        </w:rPr>
        <w:t>4、省外企业入陕截图：省外企业须在“陕西省建筑市场监管与诚信信息发布平台”企业库可查询（附完整的查询结果截图加盖供应商公章）。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咸阳市秦都区世纪大道中段1号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朱旭、张静、戚洪良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029-85561862/85561863转809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采购包1：784,189.23元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说明：（1）供应商成交后凭中标（成交）通知书向采购人缴纳成交金额的3%作为履约保证金；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代理服务费收费标准：如成交金额达50万元以上的项目参考国家计委《招标代理服务收费管理暂行办法》(计价格[2002]1980号)文件的基础上收费下浮25%为标准基础价，在标准的基础上再下浮 10%收取招标代理服务费；如成交金额低于50万元及以下的项目，按照定额人民币3500.00元收取招标代理服务费，由成交供应商向采购代理机构交纳招标代理服务费。 招标代理服务费支付方式：银行转账或现金方式 收款单位：陕西万德招标有限公司 开户银行：中国银行西安南二环支行 银行账号：103673241394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踏勘时间：2026-08-11 10:00:00</w:t>
            </w:r>
          </w:p>
          <w:p>
            <w:pPr>
              <w:pStyle w:val="null3"/>
              <w:ind w:firstLine="975"/>
            </w:pPr>
            <w:r>
              <w:rPr>
                <w:rFonts w:ascii="仿宋_GB2312" w:hAnsi="仿宋_GB2312" w:cs="仿宋_GB2312" w:eastAsia="仿宋_GB2312"/>
              </w:rPr>
              <w:t>踏勘地点：陕西中医药大学指定地点</w:t>
            </w:r>
          </w:p>
          <w:p>
            <w:pPr>
              <w:pStyle w:val="null3"/>
              <w:ind w:firstLine="975"/>
            </w:pPr>
            <w:r>
              <w:rPr>
                <w:rFonts w:ascii="仿宋_GB2312" w:hAnsi="仿宋_GB2312" w:cs="仿宋_GB2312" w:eastAsia="仿宋_GB2312"/>
              </w:rPr>
              <w:t>联系人：赵莉</w:t>
            </w:r>
          </w:p>
          <w:p>
            <w:pPr>
              <w:pStyle w:val="null3"/>
              <w:ind w:firstLine="975"/>
            </w:pPr>
            <w:r>
              <w:rPr>
                <w:rFonts w:ascii="仿宋_GB2312" w:hAnsi="仿宋_GB2312" w:cs="仿宋_GB2312" w:eastAsia="仿宋_GB2312"/>
              </w:rPr>
              <w:t>联系电话号码：18392185716</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如欲在项目实施过程中采用自有知识成果，需在响应文件中声明，并提供相关知识产权证明文件。使用该知识成果后，供应商需提供开发接口和开发手册等技术文档，并承诺提供无限期技术支持，采购人享有永久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联系人：朱旭</w:t>
      </w:r>
    </w:p>
    <w:p>
      <w:pPr>
        <w:pStyle w:val="null3"/>
      </w:pPr>
      <w:r>
        <w:rPr>
          <w:rFonts w:ascii="仿宋_GB2312" w:hAnsi="仿宋_GB2312" w:cs="仿宋_GB2312" w:eastAsia="仿宋_GB2312"/>
        </w:rPr>
        <w:t>联系电话：029-85561862/3转809</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784,189.23</w:t>
      </w:r>
    </w:p>
    <w:p>
      <w:pPr>
        <w:pStyle w:val="null3"/>
      </w:pPr>
      <w:r>
        <w:rPr>
          <w:rFonts w:ascii="仿宋_GB2312" w:hAnsi="仿宋_GB2312" w:cs="仿宋_GB2312" w:eastAsia="仿宋_GB2312"/>
        </w:rPr>
        <w:t>采购包最高限价（元）: 784,189.23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南校区1号学生公寓北侧广场区域改造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784,189.23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标的名称：南校区1号学生公寓北侧广场区域改造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w:t>
            </w:r>
            <w:r>
              <w:rPr>
                <w:rFonts w:ascii="仿宋_GB2312" w:hAnsi="仿宋_GB2312" w:cs="仿宋_GB2312" w:eastAsia="仿宋_GB2312"/>
                <w:sz w:val="20"/>
                <w:b/>
              </w:rPr>
              <w:t>、工程量清单、图纸</w:t>
            </w:r>
          </w:p>
          <w:p>
            <w:pPr>
              <w:pStyle w:val="null3"/>
              <w:jc w:val="left"/>
            </w:pPr>
            <w:r>
              <w:rPr>
                <w:rFonts w:ascii="仿宋_GB2312" w:hAnsi="仿宋_GB2312" w:cs="仿宋_GB2312" w:eastAsia="仿宋_GB2312"/>
                <w:sz w:val="20"/>
                <w:b/>
              </w:rPr>
              <w:t>（一）工程量清单：</w:t>
            </w:r>
            <w:r>
              <w:rPr>
                <w:rFonts w:ascii="仿宋_GB2312" w:hAnsi="仿宋_GB2312" w:cs="仿宋_GB2312" w:eastAsia="仿宋_GB2312"/>
                <w:sz w:val="20"/>
              </w:rPr>
              <w:t>详见附件。</w:t>
            </w:r>
          </w:p>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图纸：</w:t>
            </w:r>
            <w:r>
              <w:rPr>
                <w:rFonts w:ascii="仿宋_GB2312" w:hAnsi="仿宋_GB2312" w:cs="仿宋_GB2312" w:eastAsia="仿宋_GB2312"/>
                <w:sz w:val="20"/>
              </w:rPr>
              <w:t>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、商务要求</w:t>
            </w:r>
          </w:p>
          <w:p>
            <w:pPr>
              <w:pStyle w:val="null3"/>
              <w:jc w:val="left"/>
            </w:pPr>
            <w:r>
              <w:rPr>
                <w:rFonts w:ascii="仿宋_GB2312" w:hAnsi="仿宋_GB2312" w:cs="仿宋_GB2312" w:eastAsia="仿宋_GB2312"/>
                <w:sz w:val="20"/>
                <w:b/>
              </w:rPr>
              <w:t>1、工期及地点</w:t>
            </w:r>
          </w:p>
          <w:p>
            <w:pPr>
              <w:pStyle w:val="null3"/>
              <w:jc w:val="left"/>
            </w:pPr>
            <w:r>
              <w:rPr>
                <w:rFonts w:ascii="仿宋_GB2312" w:hAnsi="仿宋_GB2312" w:cs="仿宋_GB2312" w:eastAsia="仿宋_GB2312"/>
                <w:sz w:val="20"/>
              </w:rPr>
              <w:t>1-1、工期：</w:t>
            </w:r>
            <w:r>
              <w:rPr>
                <w:rFonts w:ascii="仿宋_GB2312" w:hAnsi="仿宋_GB2312" w:cs="仿宋_GB2312" w:eastAsia="仿宋_GB2312"/>
                <w:sz w:val="20"/>
              </w:rPr>
              <w:t>自合同签订之日起</w:t>
            </w:r>
            <w:r>
              <w:rPr>
                <w:rFonts w:ascii="仿宋_GB2312" w:hAnsi="仿宋_GB2312" w:cs="仿宋_GB2312" w:eastAsia="仿宋_GB2312"/>
                <w:sz w:val="20"/>
              </w:rPr>
              <w:t>40个日历天</w:t>
            </w:r>
            <w:r>
              <w:rPr>
                <w:rFonts w:ascii="仿宋_GB2312" w:hAnsi="仿宋_GB2312" w:cs="仿宋_GB2312" w:eastAsia="仿宋_GB2312"/>
                <w:sz w:val="20"/>
                <w:shd w:fill="FFFFFF" w:val="clear"/>
              </w:rPr>
              <w:t>。</w:t>
            </w:r>
          </w:p>
          <w:p>
            <w:pPr>
              <w:pStyle w:val="null3"/>
              <w:jc w:val="left"/>
            </w:pPr>
            <w:r>
              <w:rPr>
                <w:rFonts w:ascii="仿宋_GB2312" w:hAnsi="仿宋_GB2312" w:cs="仿宋_GB2312" w:eastAsia="仿宋_GB2312"/>
                <w:sz w:val="20"/>
              </w:rPr>
              <w:t>1-2、地点</w:t>
            </w:r>
            <w:r>
              <w:rPr>
                <w:rFonts w:ascii="仿宋_GB2312" w:hAnsi="仿宋_GB2312" w:cs="仿宋_GB2312" w:eastAsia="仿宋_GB2312"/>
                <w:sz w:val="20"/>
              </w:rPr>
              <w:t>：</w:t>
            </w:r>
            <w:r>
              <w:rPr>
                <w:rFonts w:ascii="仿宋_GB2312" w:hAnsi="仿宋_GB2312" w:cs="仿宋_GB2312" w:eastAsia="仿宋_GB2312"/>
                <w:sz w:val="20"/>
              </w:rPr>
              <w:t>陕西中医药大学</w:t>
            </w:r>
            <w:r>
              <w:rPr>
                <w:rFonts w:ascii="仿宋_GB2312" w:hAnsi="仿宋_GB2312" w:cs="仿宋_GB2312" w:eastAsia="仿宋_GB2312"/>
                <w:sz w:val="20"/>
              </w:rPr>
              <w:t>学校南校区。</w:t>
            </w:r>
          </w:p>
          <w:p>
            <w:pPr>
              <w:pStyle w:val="null3"/>
              <w:jc w:val="left"/>
            </w:pPr>
            <w:r>
              <w:rPr>
                <w:rFonts w:ascii="仿宋_GB2312" w:hAnsi="仿宋_GB2312" w:cs="仿宋_GB2312" w:eastAsia="仿宋_GB2312"/>
                <w:sz w:val="20"/>
                <w:b/>
              </w:rPr>
              <w:t>2、付款方式：</w:t>
            </w:r>
          </w:p>
          <w:p>
            <w:pPr>
              <w:pStyle w:val="null3"/>
              <w:jc w:val="left"/>
            </w:pPr>
            <w:r>
              <w:rPr>
                <w:rFonts w:ascii="仿宋_GB2312" w:hAnsi="仿宋_GB2312" w:cs="仿宋_GB2312" w:eastAsia="仿宋_GB2312"/>
                <w:sz w:val="20"/>
              </w:rPr>
              <w:t>工程竣工并经甲方验收合格，甲方审计结束后，由乙方开具并向甲方提供审定金额的全额发票及对应发票金额</w:t>
            </w:r>
            <w:r>
              <w:rPr>
                <w:rFonts w:ascii="仿宋_GB2312" w:hAnsi="仿宋_GB2312" w:cs="仿宋_GB2312" w:eastAsia="仿宋_GB2312"/>
                <w:sz w:val="20"/>
              </w:rPr>
              <w:t>3%的质量保函。甲方收到资料确认无误后，全额支付审定工程款。质保期结束后退还质量保函。</w:t>
            </w:r>
          </w:p>
          <w:p>
            <w:pPr>
              <w:pStyle w:val="null3"/>
              <w:jc w:val="left"/>
            </w:pPr>
            <w:r>
              <w:rPr>
                <w:rFonts w:ascii="仿宋_GB2312" w:hAnsi="仿宋_GB2312" w:cs="仿宋_GB2312" w:eastAsia="仿宋_GB2312"/>
                <w:sz w:val="20"/>
                <w:b/>
              </w:rPr>
              <w:t>3、质量保证</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质保期</w:t>
            </w:r>
            <w:r>
              <w:rPr>
                <w:rFonts w:ascii="仿宋_GB2312" w:hAnsi="仿宋_GB2312" w:cs="仿宋_GB2312" w:eastAsia="仿宋_GB2312"/>
                <w:sz w:val="20"/>
              </w:rPr>
              <w:t>：</w:t>
            </w:r>
            <w:r>
              <w:rPr>
                <w:rFonts w:ascii="仿宋_GB2312" w:hAnsi="仿宋_GB2312" w:cs="仿宋_GB2312" w:eastAsia="仿宋_GB2312"/>
                <w:sz w:val="20"/>
              </w:rPr>
              <w:t>工程整体质保期为</w:t>
            </w:r>
            <w:r>
              <w:rPr>
                <w:rFonts w:ascii="仿宋_GB2312" w:hAnsi="仿宋_GB2312" w:cs="仿宋_GB2312" w:eastAsia="仿宋_GB2312"/>
                <w:sz w:val="20"/>
              </w:rPr>
              <w:t>2</w:t>
            </w:r>
            <w:r>
              <w:rPr>
                <w:rFonts w:ascii="仿宋_GB2312" w:hAnsi="仿宋_GB2312" w:cs="仿宋_GB2312" w:eastAsia="仿宋_GB2312"/>
                <w:sz w:val="20"/>
              </w:rPr>
              <w:t>年，</w:t>
            </w:r>
            <w:r>
              <w:rPr>
                <w:rFonts w:ascii="仿宋_GB2312" w:hAnsi="仿宋_GB2312" w:cs="仿宋_GB2312" w:eastAsia="仿宋_GB2312"/>
                <w:sz w:val="20"/>
              </w:rPr>
              <w:t>设备等主要材料质保</w:t>
            </w:r>
            <w:r>
              <w:rPr>
                <w:rFonts w:ascii="仿宋_GB2312" w:hAnsi="仿宋_GB2312" w:cs="仿宋_GB2312" w:eastAsia="仿宋_GB2312"/>
                <w:sz w:val="20"/>
              </w:rPr>
              <w:t>5年，</w:t>
            </w:r>
            <w:r>
              <w:rPr>
                <w:rFonts w:ascii="仿宋_GB2312" w:hAnsi="仿宋_GB2312" w:cs="仿宋_GB2312" w:eastAsia="仿宋_GB2312"/>
                <w:sz w:val="20"/>
              </w:rPr>
              <w:t>自工程竣工验收合格之日起计算。</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2</w:t>
            </w:r>
            <w:r>
              <w:rPr>
                <w:rFonts w:ascii="仿宋_GB2312" w:hAnsi="仿宋_GB2312" w:cs="仿宋_GB2312" w:eastAsia="仿宋_GB2312"/>
                <w:sz w:val="20"/>
              </w:rPr>
              <w:t>、缺陷责任期</w:t>
            </w:r>
            <w:r>
              <w:rPr>
                <w:rFonts w:ascii="仿宋_GB2312" w:hAnsi="仿宋_GB2312" w:cs="仿宋_GB2312" w:eastAsia="仿宋_GB2312"/>
                <w:sz w:val="20"/>
              </w:rPr>
              <w:t>:24个月，若供应商承诺保修期限超过竞争性磋商文件要求，按其承诺执行。</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3</w:t>
            </w:r>
            <w:r>
              <w:rPr>
                <w:rFonts w:ascii="仿宋_GB2312" w:hAnsi="仿宋_GB2312" w:cs="仿宋_GB2312" w:eastAsia="仿宋_GB2312"/>
                <w:sz w:val="20"/>
              </w:rPr>
              <w:t>、缺陷责任期自工程通过竣工验收之日起计算。单位工程先于全部工程进行验收，单位工程缺陷责任期自单位工程验收合格之日起算。</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工程质量必须符合国家</w:t>
            </w:r>
            <w:r>
              <w:rPr>
                <w:rFonts w:ascii="仿宋_GB2312" w:hAnsi="仿宋_GB2312" w:cs="仿宋_GB2312" w:eastAsia="仿宋_GB2312"/>
                <w:sz w:val="20"/>
              </w:rPr>
              <w:t>质量</w:t>
            </w:r>
            <w:r>
              <w:rPr>
                <w:rFonts w:ascii="仿宋_GB2312" w:hAnsi="仿宋_GB2312" w:cs="仿宋_GB2312" w:eastAsia="仿宋_GB2312"/>
                <w:sz w:val="20"/>
              </w:rPr>
              <w:t>现行</w:t>
            </w:r>
            <w:r>
              <w:rPr>
                <w:rFonts w:ascii="仿宋_GB2312" w:hAnsi="仿宋_GB2312" w:cs="仿宋_GB2312" w:eastAsia="仿宋_GB2312"/>
                <w:sz w:val="20"/>
              </w:rPr>
              <w:t>CJJ2-2008《市政基础设施工程施工质量验收统一标准》</w:t>
            </w:r>
            <w:r>
              <w:rPr>
                <w:rFonts w:ascii="仿宋_GB2312" w:hAnsi="仿宋_GB2312" w:cs="仿宋_GB2312" w:eastAsia="仿宋_GB2312"/>
                <w:sz w:val="20"/>
              </w:rPr>
              <w:t>；</w:t>
            </w:r>
            <w:r>
              <w:rPr>
                <w:rFonts w:ascii="仿宋_GB2312" w:hAnsi="仿宋_GB2312" w:cs="仿宋_GB2312" w:eastAsia="仿宋_GB2312"/>
                <w:sz w:val="20"/>
              </w:rPr>
              <w:t>CJJ1-2008《城镇道路工程施工与质量验收规范》</w:t>
            </w:r>
            <w:r>
              <w:rPr>
                <w:rFonts w:ascii="仿宋_GB2312" w:hAnsi="仿宋_GB2312" w:cs="仿宋_GB2312" w:eastAsia="仿宋_GB2312"/>
                <w:sz w:val="20"/>
              </w:rPr>
              <w:t>；</w:t>
            </w:r>
            <w:r>
              <w:rPr>
                <w:rFonts w:ascii="仿宋_GB2312" w:hAnsi="仿宋_GB2312" w:cs="仿宋_GB2312" w:eastAsia="仿宋_GB2312"/>
                <w:sz w:val="20"/>
              </w:rPr>
              <w:t>GB55032-2022《建筑与市政工程施工质量控制通用规范》，确保达到合格标准。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所用材料、设备必须</w:t>
            </w:r>
            <w:r>
              <w:rPr>
                <w:rFonts w:ascii="仿宋_GB2312" w:hAnsi="仿宋_GB2312" w:cs="仿宋_GB2312" w:eastAsia="仿宋_GB2312"/>
                <w:sz w:val="20"/>
              </w:rPr>
              <w:t>设计图纸及</w:t>
            </w:r>
            <w:r>
              <w:rPr>
                <w:rFonts w:ascii="仿宋_GB2312" w:hAnsi="仿宋_GB2312" w:cs="仿宋_GB2312" w:eastAsia="仿宋_GB2312"/>
                <w:sz w:val="20"/>
              </w:rPr>
              <w:t>国家有关产品质量标准，提供产品合格证明文件，并经采购单位验收合格后方可使用。</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施工过程中严格执行施工规范和操作规程，确保施工安全，如发生质量或安全事故，由供应商承担全部责任及损失。</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工程竣工验收时，应向采购单位提供完整的工程技术资料、竣工图等相关文件。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8</w:t>
            </w:r>
            <w:r>
              <w:rPr>
                <w:rFonts w:ascii="仿宋_GB2312" w:hAnsi="仿宋_GB2312" w:cs="仿宋_GB2312" w:eastAsia="仿宋_GB2312"/>
                <w:sz w:val="20"/>
              </w:rPr>
              <w:t>、安全施工：应遵守国家、陕西省主管部门颁发的安全生产规定，遵守现场安全文明管理规定，遵守采购人的相关规章制度，在施工中加强职工安全教育，并对施工中发生的一切安全事故承担全部责任。并做到现场文明施工、工完场清。在施工现场中引发的人身安全、机械事故、治安事件等均由供应商承担全部责任；</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9</w:t>
            </w:r>
            <w:r>
              <w:rPr>
                <w:rFonts w:ascii="仿宋_GB2312" w:hAnsi="仿宋_GB2312" w:cs="仿宋_GB2312" w:eastAsia="仿宋_GB2312"/>
                <w:sz w:val="20"/>
              </w:rPr>
              <w:t>、安全责任：供应商须遵守工程施工安全生产有关规定，科学制定方案，精心组织施工，采取必要的安全防护措施，消除事故隐患，确保施工人员安全，否则由此引发的安全事故由供应商承担全部责任。</w:t>
            </w:r>
          </w:p>
          <w:p>
            <w:pPr>
              <w:pStyle w:val="null3"/>
              <w:jc w:val="left"/>
            </w:pPr>
            <w:r>
              <w:rPr>
                <w:rFonts w:ascii="仿宋_GB2312" w:hAnsi="仿宋_GB2312" w:cs="仿宋_GB2312" w:eastAsia="仿宋_GB2312"/>
                <w:sz w:val="20"/>
                <w:b/>
              </w:rPr>
              <w:t>4、验收</w:t>
            </w:r>
          </w:p>
          <w:p>
            <w:pPr>
              <w:pStyle w:val="null3"/>
              <w:jc w:val="left"/>
            </w:pPr>
            <w:r>
              <w:rPr>
                <w:rFonts w:ascii="仿宋_GB2312" w:hAnsi="仿宋_GB2312" w:cs="仿宋_GB2312" w:eastAsia="仿宋_GB2312"/>
                <w:sz w:val="20"/>
              </w:rPr>
              <w:t>4-1、成交人与采购人应严格按照政府采购相关法律法规以及《财政部关于进一步加强政府采购需求和履约验收管理的指导意见》（财库〔2016〕205号）、《政府采购需求管理办法》（财库〔2021〕22号）、《陕西省财政厅关于进一步加强政府采购履约验收管理有关事项的通知》（陕财办采函〔2025〕19 号）的要求进行验收。</w:t>
            </w:r>
          </w:p>
          <w:p>
            <w:pPr>
              <w:pStyle w:val="null3"/>
              <w:jc w:val="left"/>
            </w:pPr>
            <w:r>
              <w:rPr>
                <w:rFonts w:ascii="仿宋_GB2312" w:hAnsi="仿宋_GB2312" w:cs="仿宋_GB2312" w:eastAsia="仿宋_GB2312"/>
                <w:sz w:val="20"/>
              </w:rPr>
              <w:t>4-2、验收依据包括但不限于工程质量达到国家建设工程验收合格标准、合同文本、竞争性磋商文件、响应文件。</w:t>
            </w:r>
          </w:p>
          <w:p>
            <w:pPr>
              <w:pStyle w:val="null3"/>
              <w:jc w:val="left"/>
            </w:pPr>
            <w:r>
              <w:rPr>
                <w:rFonts w:ascii="仿宋_GB2312" w:hAnsi="仿宋_GB2312" w:cs="仿宋_GB2312" w:eastAsia="仿宋_GB2312"/>
                <w:sz w:val="20"/>
              </w:rPr>
              <w:t>4-3、交付竣工验收的工程，必须符合规定的工程质量标准，有完整的工程技术经济资料和经签署的工程保修书，并具备国家规定的其他竣工条件。工程竣工经验收合格后，方可交付使用；未经验收或者验收不合格的，不得交付使用。</w:t>
            </w:r>
          </w:p>
          <w:p>
            <w:pPr>
              <w:pStyle w:val="null3"/>
            </w:pPr>
            <w:r>
              <w:rPr>
                <w:rFonts w:ascii="仿宋_GB2312" w:hAnsi="仿宋_GB2312" w:cs="仿宋_GB2312" w:eastAsia="仿宋_GB2312"/>
                <w:sz w:val="20"/>
              </w:rPr>
              <w:t>4-4、项目验收结果合格的，成交人凭验收相关证明材料到采购人相关部门办理履约保证金的退付手续；验收结果不合格且拒不整改的，履约保证金将不予退还，也将不予支付剩余合同资金，给采购人造成的损失超过履约保证金数额的，还应当对超过部分予以赔偿；没有提交履约保证金的，应当对采购人的损失承担赔偿责任，还可能上报本项目同级财政部门按照政府采购法律法规等有关规定给予行政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符合国家现行CJJ2-2008《市政基础设施工程施工质量验收统一标准》；CJJ1-2008《城镇道路工程施工与质量验收规范》；GB55032-2022《建筑与市政工程施工质量控制通用规范》，确保达到合格标准。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响应文件，成交供应商需提供纸质响应文件正本壹份、副本贰份、电子版壹套（U盘一套电子版内容：电子投标书(已标价工程量清单SXTB格式)、GBQ格式）。纸质响应文件应与线上电子响应文件保持一致,若电子响应文件与纸质响应文件不一致的，以电子响应文件为准。线下递交文件地点：西安市南二环西段21号华融国际商务大厦A座10层D区，联系人：朱旭，联系电话：029-85561862/85561863转809） 2.本工程软件采用广联达云计价平台GCCP7.0 （7.5000.23.3版）。3.付款方式：（因电子交易平台竞争性磋商文件付款方式描述格式受限，竞争性磋商文件中付款方式有不一致时，均以此处约定为准）：工程竣工并经甲方验收合格，甲方审计结束后，由乙方开具并向甲方提供审定金额的全额发票及对应发票金额3%的质量保函。甲方收到资料确认无误后，全额支付审定工程款。质保期结束后退还质量保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②2025年度经审计的财务会计报告（须包含：资产负债表、现金流量表、利润表、所有者权益变动表、财务报表附注、审计公司证照及经办注册会计师资格证书）或递交响应文件截止时间前六个月内基本账户银行出具的资信证明（附开户行许可证或基本存款账户信息）。③提供2026年01月01日至今已缴纳的至少一个月的纳税证明或完税证明，依法免税的单位应提供相关证明材料。④提供2026年01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⑥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本项目专门面向中小企业采购，供应商应填写中小企业（监狱企业）声明函并对其真实性负责，参与的供应商（联合体）工程的施工单位全部为符合政策要求的中小企业。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供应商应授权合法的人员参加磋商，其中法定代表人或单位负责人直接参加的，须出具法定代表人或单位负责人身份证明书；被授权人参加的，须出具法定代表人或单位负责人身份证明书及授权书。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拟派项目经理须具备市政公用工程专业二级及以上建造师资格，同时具备有效的安全生产考核合格证（建安B证），且在本单位注册，未担任其它在建工程的项目经理（提供无在建承诺书）。</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省外企业入陕截图</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 （4）符合“磋商报价表”的填报要求； （5）已标价工程量清单无工程量漏项，清单内容、格式及范围均与磋商文件要求保持一致。</w:t>
            </w:r>
          </w:p>
        </w:tc>
        <w:tc>
          <w:tcPr>
            <w:tcW w:type="dxa" w:w="1661"/>
          </w:tcPr>
          <w:p>
            <w:pPr>
              <w:pStyle w:val="null3"/>
            </w:pPr>
            <w:r>
              <w:rPr>
                <w:rFonts w:ascii="仿宋_GB2312" w:hAnsi="仿宋_GB2312" w:cs="仿宋_GB2312" w:eastAsia="仿宋_GB2312"/>
              </w:rPr>
              <w:t>响应文件封面 已标价工程量清单 报价函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商务要求不得出现负偏离。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详细评审30.00分</w:t>
            </w:r>
          </w:p>
          <w:p>
            <w:pPr>
              <w:pStyle w:val="null3"/>
            </w:pPr>
            <w:r>
              <w:rPr>
                <w:rFonts w:ascii="仿宋_GB2312" w:hAnsi="仿宋_GB2312" w:cs="仿宋_GB2312" w:eastAsia="仿宋_GB2312"/>
              </w:rPr>
              <w:t>报价得分70.00分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施工组织设计方案</w:t>
            </w:r>
          </w:p>
        </w:tc>
        <w:tc>
          <w:tcPr>
            <w:tcW w:type="dxa" w:w="2492"/>
          </w:tcPr>
          <w:p>
            <w:pPr>
              <w:pStyle w:val="null3"/>
            </w:pPr>
            <w:r>
              <w:rPr>
                <w:rFonts w:ascii="仿宋_GB2312" w:hAnsi="仿宋_GB2312" w:cs="仿宋_GB2312" w:eastAsia="仿宋_GB2312"/>
              </w:rPr>
              <w:t>根据本项目特点，提供施工组织设计方案。具体包括： ①施工方案； ②施工进度及工期保障措施； ③确保施工质量的技术组织措施；④确保施工安全、文明、环保的技术组织措施； ⑤拟投入本项目的劳动力、机械设备、工具等； ⑥针对突发事件的应急处理方案，提供相应的预案或保证措施。 注：每具有一项得1分，最多得6分。在此基础上，方案中存在缺陷的，每1项中每有1处扣0.5分，每项最多扣1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1、项目负责人(0-4分) ①、项目负责人具有市政 工程专业中级职称得1分，高级职称得2分，初级职称及无职称不得分，不重复得分。 注：以项目负责人职称证书复印件为准。 ②、项目负责人提供近三年1个有效类似业绩得1分，最高得2分(有效是指已签订施工合同并开工建设或已完工。类似业绩是指市政工程施工类)。注：以2023年6月1日至今已签订施工合同复印件为准。 2、组织机构(0-4分) 组织机构健全，项目部主要管理人员配备齐全，至少包含五大员（安全员、施工员、质量员、材料员、资料员），在此基础上每增加一名安全员或施工员或质量员或材料员或资料员得2分，最多得4分。 注：以人员培训合格证书或岗位证书复印件为准，且增加人员不得与基础要求人员重复。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主要材料选用情况</w:t>
            </w:r>
          </w:p>
        </w:tc>
        <w:tc>
          <w:tcPr>
            <w:tcW w:type="dxa" w:w="2492"/>
          </w:tcPr>
          <w:p>
            <w:pPr>
              <w:pStyle w:val="null3"/>
            </w:pPr>
            <w:r>
              <w:rPr>
                <w:rFonts w:ascii="仿宋_GB2312" w:hAnsi="仿宋_GB2312" w:cs="仿宋_GB2312" w:eastAsia="仿宋_GB2312"/>
              </w:rPr>
              <w:t>根据本项目特点，提供主要材料选用情况。具体包括： ①针对本项目提供拟投入主要材料清单的合理性、完整性、实用性； ②主要材料的产品选型情况、材料品质、环保要求。 注：每具有一项得2.5分，最多得5分。在此基础上，方案中存在缺陷的，每1项中每有1处扣0.5分，每项最多扣2.5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根据提供的2023年6月1日至今同类项目合同，（以合同签订日期为准，仅限供应商本身，提供合同关键页、盖章页，同类项目为类似高校同类施工项目）进行评定，每份计2分，最高计8分。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根据本项目特点，提供保修方案。具体包括： ①质量保证期内的保障工作服务方案及工作计划； ②有巡查或复查计划； ③对工程维修服务响应时限有明确的承诺。 注：每具有一项得1分，最多得3分。在此基础上，方案中存在缺陷的，每1项中每有1处扣0.5分，每项最多扣1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最低有效报价得70分。以本次最低有效磋商报价为基准价，磋商报价得分=(基准价÷最后磋商报价)×价格权值×100。</w:t>
            </w:r>
          </w:p>
        </w:tc>
        <w:tc>
          <w:tcPr>
            <w:tcW w:type="dxa" w:w="831"/>
          </w:tcPr>
          <w:p>
            <w:pPr>
              <w:pStyle w:val="null3"/>
              <w:jc w:val="right"/>
            </w:pPr>
            <w:r>
              <w:rPr>
                <w:rFonts w:ascii="仿宋_GB2312" w:hAnsi="仿宋_GB2312" w:cs="仿宋_GB2312" w:eastAsia="仿宋_GB2312"/>
              </w:rPr>
              <w:t>70.0000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