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版本号：HZ-L2026015C20260714002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软件运维服务采购项目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HZ-L2026015C</w:t>
      </w:r>
      <w:r>
        <w:br/>
      </w:r>
      <w:r>
        <w:br/>
      </w:r>
      <w:r>
        <w:br/>
      </w:r>
    </w:p>
    <w:p>
      <w:pPr>
        <w:pStyle w:val="null3"/>
        <w:jc w:val="center"/>
        <w:outlineLvl w:val="2"/>
      </w:pPr>
      <w:r>
        <w:rPr>
          <w:rFonts w:ascii="仿宋_GB2312" w:hAnsi="仿宋_GB2312" w:cs="仿宋_GB2312" w:eastAsia="仿宋_GB2312"/>
          <w:sz w:val="28"/>
          <w:b/>
        </w:rPr>
        <w:t>陕西省戒毒管理局</w:t>
      </w:r>
    </w:p>
    <w:p>
      <w:pPr>
        <w:pStyle w:val="null3"/>
        <w:jc w:val="center"/>
        <w:outlineLvl w:val="2"/>
      </w:pPr>
      <w:r>
        <w:rPr>
          <w:rFonts w:ascii="仿宋_GB2312" w:hAnsi="仿宋_GB2312" w:cs="仿宋_GB2312" w:eastAsia="仿宋_GB2312"/>
          <w:sz w:val="28"/>
          <w:b/>
        </w:rPr>
        <w:t>陕西汉正项目管理有限公司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陕西汉正项目管理有限公司</w:t>
      </w:r>
      <w:r>
        <w:rPr>
          <w:rFonts w:ascii="仿宋_GB2312" w:hAnsi="仿宋_GB2312" w:cs="仿宋_GB2312" w:eastAsia="仿宋_GB2312"/>
        </w:rPr>
        <w:t>（以下简称“代理机构”）受</w:t>
      </w:r>
      <w:r>
        <w:rPr>
          <w:rFonts w:ascii="仿宋_GB2312" w:hAnsi="仿宋_GB2312" w:cs="仿宋_GB2312" w:eastAsia="仿宋_GB2312"/>
        </w:rPr>
        <w:t>陕西省戒毒管理局</w:t>
      </w:r>
      <w:r>
        <w:rPr>
          <w:rFonts w:ascii="仿宋_GB2312" w:hAnsi="仿宋_GB2312" w:cs="仿宋_GB2312" w:eastAsia="仿宋_GB2312"/>
        </w:rPr>
        <w:t>委托，拟对</w:t>
      </w:r>
      <w:r>
        <w:rPr>
          <w:rFonts w:ascii="仿宋_GB2312" w:hAnsi="仿宋_GB2312" w:cs="仿宋_GB2312" w:eastAsia="仿宋_GB2312"/>
        </w:rPr>
        <w:t>软件运维服务采购项目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HZ-L2026015C</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软件运维服务采购项目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对陕西省司法行政戒毒系统在用的统一门户平台、协同办公平台、执法管理平台、内控空财务平台、数字档案平台、和戒毒医疗平台和智慧党建平台提供软件运维、数据备份、安全检查、漏洞修复等服务。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采购包1（陕西省戒毒管理局软件运维服务采购项目）：属于专门面向中小企业采购。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应授权合法的人员参加磋商全过程：供应商应授权合法的人员参加磋商全过程，法定代表人授权代表参加磋商的，须出具法定代表人授权委托书：法定代表人授权委托书（附法定代表人身份证复印件及被授权人身份证复印件）；法定代表人直接参加磋商只需提供法定代表人资格证明书（附法定代表人身份证复印件）；采购文件凡是法定代表人之处，非法人单位的负责人均参照执行。</w:t>
      </w:r>
    </w:p>
    <w:p>
      <w:pPr>
        <w:pStyle w:val="null3"/>
      </w:pPr>
      <w:r>
        <w:rPr>
          <w:rFonts w:ascii="仿宋_GB2312" w:hAnsi="仿宋_GB2312" w:cs="仿宋_GB2312" w:eastAsia="仿宋_GB2312"/>
        </w:rPr>
        <w:t>2、信用证明：供应商不得为“信用中国”网站（www.creditchina.gov.cn）列入“失信被执行人”（页面跳转至“中国执行信息公开网”http：//zxgk.court.gov.cn/shixin/）、重大税收违法案件当事人名单的供应商；不得为中国政府采购网(http://www.ccgp.gov.cn)“政府采购严重违法失信行为记录名单”中的供应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陕西省戒毒管理局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陕西省西安市莲湖区习武园15号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郝老师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029-87371214</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陕西汉正项目管理有限公司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 xml:space="preserve"> 西安市雁塔区科技二路71号竹园·天寰国际1706室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马敏</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15529386950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采购包1：650,000.00元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原国家计委《招标代理服务收费管理暂行办法》（计价格[2002]1980号）、国家发展和改革委员会《国家发展改革委办公厅关于招标代理服务收费有关问题的通知》（发改办价格[2003]857号）和《国家发展改革委关于降低部分建设项目收费标准规范收费行为等有关问题的通知》（发改价格[2011]534号）文件的相关规定收取。 收款账户如下： 账户名称:陕西汉正项目管理有限公司 账户号码:61050110771000000926 开户银行:中国建设银行股份有限公司西安科技二路支行</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陕西省戒毒管理局</w:t>
      </w:r>
      <w:r>
        <w:rPr>
          <w:rFonts w:ascii="仿宋_GB2312" w:hAnsi="仿宋_GB2312" w:cs="仿宋_GB2312" w:eastAsia="仿宋_GB2312"/>
        </w:rPr>
        <w:t>和</w:t>
      </w:r>
      <w:r>
        <w:rPr>
          <w:rFonts w:ascii="仿宋_GB2312" w:hAnsi="仿宋_GB2312" w:cs="仿宋_GB2312" w:eastAsia="仿宋_GB2312"/>
        </w:rPr>
        <w:t>陕西汉正项目管理有限公司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陕西省戒毒管理局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陕西汉正项目管理有限公司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陕西省戒毒管理局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陕西汉正项目管理有限公司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 三、如采用供应商所不拥有的知识产权，则在报价中必须包括合法使用该知识产权的相关费用。 四、构成本磋商文件的各组成部分，未经采购人书面同意，供应商不得擅自复印或用于非本磋商项目所需的其他目的。</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陕西汉正项目管理有限公司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陕西汉正项目管理有限公司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陕西汉正项目管理有限公司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联系人：马敏</w:t>
      </w:r>
    </w:p>
    <w:p>
      <w:pPr>
        <w:pStyle w:val="null3"/>
      </w:pPr>
      <w:r>
        <w:rPr>
          <w:rFonts w:ascii="仿宋_GB2312" w:hAnsi="仿宋_GB2312" w:cs="仿宋_GB2312" w:eastAsia="仿宋_GB2312"/>
        </w:rPr>
        <w:t>联系电话：15529386950</w:t>
      </w:r>
    </w:p>
    <w:p>
      <w:pPr>
        <w:pStyle w:val="null3"/>
      </w:pPr>
      <w:r>
        <w:rPr>
          <w:rFonts w:ascii="仿宋_GB2312" w:hAnsi="仿宋_GB2312" w:cs="仿宋_GB2312" w:eastAsia="仿宋_GB2312"/>
        </w:rPr>
        <w:t>地址：西安市雁塔区科技二路71号竹园·天寰国际1706室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对陕西省司法行政戒毒系统在用的统一门户平台、协同办公平台、执法管理平台、内控空财务平台、数字档案平台、和戒毒医疗平台和智慧党建平台提供软件运维、数据备份、安全检查、漏洞修复等服务。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650,000.00</w:t>
      </w:r>
    </w:p>
    <w:p>
      <w:pPr>
        <w:pStyle w:val="null3"/>
      </w:pPr>
      <w:r>
        <w:rPr>
          <w:rFonts w:ascii="仿宋_GB2312" w:hAnsi="仿宋_GB2312" w:cs="仿宋_GB2312" w:eastAsia="仿宋_GB2312"/>
        </w:rPr>
        <w:t>采购包最高限价（元）: 650,000.00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全省司法行政戒毒系统的软运维服务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650,000.00</w:t>
            </w:r>
          </w:p>
        </w:tc>
        <w:tc>
          <w:tcPr>
            <w:tcW w:type="dxa" w:w="755"/>
          </w:tcPr>
          <w:p>
            <w:pPr>
              <w:pStyle w:val="null3"/>
            </w:pPr>
            <w:r>
              <w:rPr>
                <w:rFonts w:ascii="仿宋_GB2312" w:hAnsi="仿宋_GB2312" w:cs="仿宋_GB2312" w:eastAsia="仿宋_GB2312"/>
              </w:rPr>
              <w:t>年</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标的名称：全省司法行政戒毒系统的软运维服务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b/>
              </w:rPr>
              <w:t>一、项目概况：</w:t>
            </w:r>
          </w:p>
          <w:p>
            <w:pPr>
              <w:pStyle w:val="null3"/>
              <w:ind w:firstLine="400"/>
              <w:jc w:val="both"/>
            </w:pPr>
            <w:r>
              <w:rPr>
                <w:rFonts w:ascii="仿宋_GB2312" w:hAnsi="仿宋_GB2312" w:cs="仿宋_GB2312" w:eastAsia="仿宋_GB2312"/>
                <w:sz w:val="21"/>
              </w:rPr>
              <w:t>对陕西省司法行政戒毒系统在用的统一门户平台、协同办公平台、执法管理平台、内</w:t>
            </w:r>
            <w:r>
              <w:rPr>
                <w:rFonts w:ascii="仿宋_GB2312" w:hAnsi="仿宋_GB2312" w:cs="仿宋_GB2312" w:eastAsia="仿宋_GB2312"/>
                <w:sz w:val="21"/>
              </w:rPr>
              <w:t>控</w:t>
            </w:r>
            <w:r>
              <w:rPr>
                <w:rFonts w:ascii="仿宋_GB2312" w:hAnsi="仿宋_GB2312" w:cs="仿宋_GB2312" w:eastAsia="仿宋_GB2312"/>
                <w:sz w:val="21"/>
              </w:rPr>
              <w:t>财务平台、数字档案平台</w:t>
            </w:r>
            <w:r>
              <w:rPr>
                <w:rFonts w:ascii="仿宋_GB2312" w:hAnsi="仿宋_GB2312" w:cs="仿宋_GB2312" w:eastAsia="仿宋_GB2312"/>
                <w:sz w:val="21"/>
              </w:rPr>
              <w:t>、</w:t>
            </w:r>
            <w:r>
              <w:rPr>
                <w:rFonts w:ascii="仿宋_GB2312" w:hAnsi="仿宋_GB2312" w:cs="仿宋_GB2312" w:eastAsia="仿宋_GB2312"/>
                <w:sz w:val="21"/>
              </w:rPr>
              <w:t>戒毒医疗平台和智慧党建平台提供软件运维、数据备份、安全检查、漏洞修复等服务。</w:t>
            </w:r>
          </w:p>
          <w:p>
            <w:pPr>
              <w:pStyle w:val="null3"/>
            </w:pPr>
            <w:r>
              <w:rPr>
                <w:rFonts w:ascii="仿宋_GB2312" w:hAnsi="仿宋_GB2312" w:cs="仿宋_GB2312" w:eastAsia="仿宋_GB2312"/>
                <w:sz w:val="21"/>
                <w:b/>
              </w:rPr>
              <w:t>二、服务内容</w:t>
            </w:r>
          </w:p>
          <w:p>
            <w:pPr>
              <w:pStyle w:val="null3"/>
              <w:ind w:firstLine="420"/>
            </w:pPr>
            <w:r>
              <w:rPr>
                <w:rFonts w:ascii="仿宋_GB2312" w:hAnsi="仿宋_GB2312" w:cs="仿宋_GB2312" w:eastAsia="仿宋_GB2312"/>
                <w:sz w:val="21"/>
              </w:rPr>
              <w:t>软件运维服务主要包括对陕西省司法行政戒毒系统在用的统一门户平台、协同办公平台、执法管理平台、内控财务平台、数字档案平台、戒毒医疗平台和智慧党建平台提供新增需求实现、结构化及非结构化数据整理、业务应用和数据库备份、安全漏洞修复、业务系统间的数据对接等服务，同时做好平台的运维和技术支持，保障各系统稳定运行。</w:t>
            </w:r>
          </w:p>
          <w:p>
            <w:pPr>
              <w:pStyle w:val="null3"/>
              <w:jc w:val="both"/>
            </w:pPr>
            <w:r>
              <w:rPr>
                <w:rFonts w:ascii="仿宋_GB2312" w:hAnsi="仿宋_GB2312" w:cs="仿宋_GB2312" w:eastAsia="仿宋_GB2312"/>
                <w:sz w:val="21"/>
                <w:b/>
              </w:rPr>
              <w:t>三、服务要求</w:t>
            </w:r>
          </w:p>
          <w:p>
            <w:pPr>
              <w:pStyle w:val="null3"/>
              <w:ind w:firstLine="420"/>
            </w:pPr>
            <w:r>
              <w:rPr>
                <w:rFonts w:ascii="仿宋_GB2312" w:hAnsi="仿宋_GB2312" w:cs="仿宋_GB2312" w:eastAsia="仿宋_GB2312"/>
                <w:sz w:val="21"/>
                <w:b/>
              </w:rPr>
              <w:t>1.软件运维服务</w:t>
            </w:r>
          </w:p>
          <w:p>
            <w:pPr>
              <w:pStyle w:val="null3"/>
              <w:ind w:firstLine="420"/>
            </w:pPr>
            <w:r>
              <w:rPr>
                <w:rFonts w:ascii="仿宋_GB2312" w:hAnsi="仿宋_GB2312" w:cs="仿宋_GB2312" w:eastAsia="仿宋_GB2312"/>
                <w:sz w:val="21"/>
              </w:rPr>
              <w:t>①统一门户平台要求</w:t>
            </w:r>
          </w:p>
          <w:p>
            <w:pPr>
              <w:pStyle w:val="null3"/>
              <w:ind w:firstLine="420"/>
            </w:pPr>
            <w:r>
              <w:rPr>
                <w:rFonts w:ascii="仿宋_GB2312" w:hAnsi="仿宋_GB2312" w:cs="仿宋_GB2312" w:eastAsia="仿宋_GB2312"/>
                <w:sz w:val="21"/>
              </w:rPr>
              <w:t>根据业务需求优化门户平台的用户界面布局，适配多终端（</w:t>
            </w:r>
            <w:r>
              <w:rPr>
                <w:rFonts w:ascii="仿宋_GB2312" w:hAnsi="仿宋_GB2312" w:cs="仿宋_GB2312" w:eastAsia="仿宋_GB2312"/>
                <w:sz w:val="21"/>
              </w:rPr>
              <w:t>PC端/移动端）访问，保障系统稳定运行，结构化数据及非结构化数据整理，业务应用和数据库备份，安全漏洞修复定期清理冗余缓存数据，优化数据库查询效率，与其它业务系统间的数据对接等服务。</w:t>
            </w:r>
          </w:p>
          <w:p>
            <w:pPr>
              <w:pStyle w:val="null3"/>
              <w:ind w:firstLine="420"/>
            </w:pPr>
            <w:r>
              <w:rPr>
                <w:rFonts w:ascii="仿宋_GB2312" w:hAnsi="仿宋_GB2312" w:cs="仿宋_GB2312" w:eastAsia="仿宋_GB2312"/>
                <w:sz w:val="21"/>
              </w:rPr>
              <w:t>②协同办公平台要求</w:t>
            </w:r>
          </w:p>
          <w:p>
            <w:pPr>
              <w:pStyle w:val="null3"/>
              <w:ind w:firstLine="420"/>
            </w:pPr>
            <w:r>
              <w:rPr>
                <w:rFonts w:ascii="仿宋_GB2312" w:hAnsi="仿宋_GB2312" w:cs="仿宋_GB2312" w:eastAsia="仿宋_GB2312"/>
                <w:sz w:val="21"/>
              </w:rPr>
              <w:t>按照需求优化电子公文流转、日常业务审批等功能模块、优化移动端审批流程和用户预览界面，保障系统稳定运行，结构化数据及非结构化数据整理，业务应用和数据库备份，安全漏洞修复定期清理冗余缓存数据，优化数据库查询效率。</w:t>
            </w:r>
          </w:p>
          <w:p>
            <w:pPr>
              <w:pStyle w:val="null3"/>
              <w:ind w:firstLine="420"/>
            </w:pPr>
            <w:r>
              <w:rPr>
                <w:rFonts w:ascii="仿宋_GB2312" w:hAnsi="仿宋_GB2312" w:cs="仿宋_GB2312" w:eastAsia="仿宋_GB2312"/>
                <w:sz w:val="21"/>
              </w:rPr>
              <w:t>③执法管理平台要求</w:t>
            </w:r>
          </w:p>
          <w:p>
            <w:pPr>
              <w:pStyle w:val="null3"/>
              <w:ind w:firstLine="420"/>
            </w:pPr>
            <w:r>
              <w:rPr>
                <w:rFonts w:ascii="仿宋_GB2312" w:hAnsi="仿宋_GB2312" w:cs="仿宋_GB2312" w:eastAsia="仿宋_GB2312"/>
                <w:sz w:val="21"/>
              </w:rPr>
              <w:t>按照需求调整优化业务流程、审批表单，结构化数据及非结构化数据整理，保障系统稳定运行，安全漏洞修复定期清理冗余缓存数据，优化数据库查询效率。</w:t>
            </w:r>
          </w:p>
          <w:p>
            <w:pPr>
              <w:pStyle w:val="null3"/>
              <w:ind w:firstLine="420"/>
            </w:pPr>
            <w:r>
              <w:rPr>
                <w:rFonts w:ascii="仿宋_GB2312" w:hAnsi="仿宋_GB2312" w:cs="仿宋_GB2312" w:eastAsia="仿宋_GB2312"/>
                <w:sz w:val="21"/>
              </w:rPr>
              <w:t>④内控财务平台要求</w:t>
            </w:r>
          </w:p>
          <w:p>
            <w:pPr>
              <w:pStyle w:val="null3"/>
              <w:ind w:firstLine="420"/>
            </w:pPr>
            <w:r>
              <w:rPr>
                <w:rFonts w:ascii="仿宋_GB2312" w:hAnsi="仿宋_GB2312" w:cs="仿宋_GB2312" w:eastAsia="仿宋_GB2312"/>
                <w:sz w:val="21"/>
              </w:rPr>
              <w:t>维护采购、报销等功能审批流程，结构化数据及非结构化数据整理，业务应用和数据库备份，保障系统稳定运行，优化数据库查询效率。</w:t>
            </w:r>
          </w:p>
          <w:p>
            <w:pPr>
              <w:pStyle w:val="null3"/>
              <w:ind w:firstLine="420"/>
            </w:pPr>
            <w:r>
              <w:rPr>
                <w:rFonts w:ascii="仿宋_GB2312" w:hAnsi="仿宋_GB2312" w:cs="仿宋_GB2312" w:eastAsia="仿宋_GB2312"/>
                <w:sz w:val="21"/>
              </w:rPr>
              <w:t>⑤数字档案平台要求</w:t>
            </w:r>
          </w:p>
          <w:p>
            <w:pPr>
              <w:pStyle w:val="null3"/>
              <w:ind w:firstLine="420"/>
            </w:pPr>
            <w:r>
              <w:rPr>
                <w:rFonts w:ascii="仿宋_GB2312" w:hAnsi="仿宋_GB2312" w:cs="仿宋_GB2312" w:eastAsia="仿宋_GB2312"/>
                <w:sz w:val="21"/>
              </w:rPr>
              <w:t>保障系统稳定运行，结构化数据及非结构化数据整理，业务应用和数据库备份，安全漏洞修复，定期清理冗余缓存数据，优化数据库查询效率。</w:t>
            </w:r>
          </w:p>
          <w:p>
            <w:pPr>
              <w:pStyle w:val="null3"/>
              <w:ind w:firstLine="420"/>
            </w:pPr>
            <w:r>
              <w:rPr>
                <w:rFonts w:ascii="仿宋_GB2312" w:hAnsi="仿宋_GB2312" w:cs="仿宋_GB2312" w:eastAsia="仿宋_GB2312"/>
                <w:sz w:val="21"/>
              </w:rPr>
              <w:t>⑥戒毒医疗平台要求</w:t>
            </w:r>
          </w:p>
          <w:p>
            <w:pPr>
              <w:pStyle w:val="null3"/>
              <w:ind w:firstLine="420"/>
            </w:pPr>
            <w:r>
              <w:rPr>
                <w:rFonts w:ascii="仿宋_GB2312" w:hAnsi="仿宋_GB2312" w:cs="仿宋_GB2312" w:eastAsia="仿宋_GB2312"/>
                <w:sz w:val="21"/>
              </w:rPr>
              <w:t>保障系统稳定运行，结构化数据整理，业务应用和数据库备份，安全漏洞修复，定期清理冗余缓存数据，优化数据库查询效率。</w:t>
            </w:r>
          </w:p>
          <w:p>
            <w:pPr>
              <w:pStyle w:val="null3"/>
              <w:ind w:firstLine="420"/>
            </w:pPr>
            <w:r>
              <w:rPr>
                <w:rFonts w:ascii="仿宋_GB2312" w:hAnsi="仿宋_GB2312" w:cs="仿宋_GB2312" w:eastAsia="仿宋_GB2312"/>
                <w:sz w:val="21"/>
              </w:rPr>
              <w:t>⑦智慧党建平台要求</w:t>
            </w:r>
          </w:p>
          <w:p>
            <w:pPr>
              <w:pStyle w:val="null3"/>
            </w:pPr>
            <w:r>
              <w:rPr>
                <w:rFonts w:ascii="仿宋_GB2312" w:hAnsi="仿宋_GB2312" w:cs="仿宋_GB2312" w:eastAsia="仿宋_GB2312"/>
                <w:sz w:val="21"/>
              </w:rPr>
              <w:t>保障系统稳定运行，定期更新平台内容，结构化数据及非结构化数据整理，业务应用和数据库备份，安全漏洞修复，定期清理冗余缓存数据，优化数据库查询效率。</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1、软件运维服务：合同签订后一年内提供不少于180天的现场服务。 2、维保人员提供24小时服务电话，开展定期维护保养、测试，发生故障时随叫随到。如因工作需要，需增加人员。 3、维保团队人员架构配置合理，项目经验丰富，人员管理制度完善，维保人员需身体健康，无吸毒史和犯罪记录。</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1、供应商须具备国产化环境（如麒麟OS、达梦数据库等）适配经验，确保跨平台（Windows、Linux、安卓/鸿蒙）兼容性；精通ETL工具，可完成主流数据库的结构化数据清洗、转换及迁移；具备非结构化数据管理能力，熟悉分布式计算、存储方案。 2、根据采购内容匹配其他完成本项目的软件。</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1、供应商在合同执行期间有义务及时为采购人提供合理化的建设建议，供应商维保工作人员须遵守采购人规章制度，听从采购人的指挥，严格按照操作规程作业，确保服务安全； 2、保密协议：服务商需签署保密协议，严禁泄露戒毒人员信息及执法数据； 3、针对运维内容提供合理的重难点分析。</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陕西省戒毒管理局指定地点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（1）按照磋商文件及采购人要求执行；在实施过程中，如果国家或有关部门颁布了新的技术标准或规范，则供应商应采用新的标准或规范进行实施。 （2）系统可用性：全年平台无重大故障（单次宕机≤1小时）。 （3）数据完整性：备份恢复成功率100%，数据对接错误率≤0.1%。 （4）用户满意度：干警职工满意度调查≥90分。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进度款，合同签订后，达到付款条件起30个工作日内，支付合同总金额的100.0%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2、未按合同要求提供服务或质量不能满足合同要求，采购人有权依据《中华人民共和国民法典》有关条款及合同约定终止合同，并要求供应商承担违约责任。</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1.成交供应商在采购结果发布后3个工作日内向代理机构提交纸质版响应文件以便于存档，响应文件正本1份，副本2份。纸质响应文件均须A4纸打印，分别各自装订成册并编制目录和页码。 2.线下递交响应文件地点：西安市雁塔区科技二路71号竹园·天寰国际1706室。 3.如采购文件中融资相关内容与新政策要求有出入，按照最新要求执行。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供应商需在项目电子化交易系统中按要求填写《响应函》完成承诺并进行电子签章，同时提供以下资格证明材料： 1.出具合法有效的营业执照或事业单位法人证书等国家规定的相关证明，自然人参与的提供其身份证明。 2.供应商需提供以下三种资料中的任意一种：①提供2024或2025年度经会计师事务所或审计机构出具完整的财务审计报告（成立时间至提交响应文件截止时间不足一年的可提供成立后任意时段的资产负债表）；②响应文件递交截止时间前三个月内其基本存款账户开户银行出具的资信证明；③财政部门认可的政府采购专业担保机构出具的投标担保函。 3.提供自2025年6月1日以来已缴存的任意1个月的社会保障资金缴存单据或社保机构开具的社会保险参保缴费情况证明；依法不需要缴纳社会保障资金的供应商应提供相关证明文件。 4.提供自2025年6月1日以来已缴纳的任意1个月的依法缴纳税收的相关凭据(时间以税款所属日期为准)，凭据应有税务机关或代收机关的公章或业务专用章；依法免税或无须缴纳税收的供应商，应提供相应证明文件。 5.提供具有履行合同所必需的设备和专业技术能力的书面承诺。 6.提供参加政府采购活动前三年内在经营活动中没有重大违法记录的书面声明。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10.一般资格要求及特殊资格要求.docx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提供以下三种资料中的任意一种：①提供2024或2025年度经会计师事务所或审计机构出具完整的财务审计报告（成立时间至提交响应文件截止时间不足一年的可提供成立后任意时段的资产负债表）；②响应文件递交截止时间前三个月内其基本存款账户开户银行出具的资信证明；③财政部门认可的政府采购专业担保机构出具的投标担保函。</w:t>
            </w:r>
          </w:p>
        </w:tc>
        <w:tc>
          <w:tcPr>
            <w:tcW w:type="dxa" w:w="1661"/>
          </w:tcPr>
          <w:p>
            <w:pPr>
              <w:pStyle w:val="null3"/>
            </w:pPr>
            <w:r>
              <w:rPr>
                <w:rFonts w:ascii="仿宋_GB2312" w:hAnsi="仿宋_GB2312" w:cs="仿宋_GB2312" w:eastAsia="仿宋_GB2312"/>
              </w:rPr>
              <w:t>10.一般资格要求及特殊资格要求.docx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10.一般资格要求及特殊资格要求.docx 12.供应商企业关系关联承诺书.docx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供应商应授权合法的人员参加磋商全过程</w:t>
            </w:r>
          </w:p>
        </w:tc>
        <w:tc>
          <w:tcPr>
            <w:tcW w:type="dxa" w:w="3322"/>
          </w:tcPr>
          <w:p>
            <w:pPr>
              <w:pStyle w:val="null3"/>
            </w:pPr>
            <w:r>
              <w:rPr>
                <w:rFonts w:ascii="仿宋_GB2312" w:hAnsi="仿宋_GB2312" w:cs="仿宋_GB2312" w:eastAsia="仿宋_GB2312"/>
              </w:rPr>
              <w:t>供应商应授权合法的人员参加磋商全过程，法定代表人授权代表参加磋商的，须出具法定代表人授权委托书：法定代表人授权委托书（附法定代表人身份证复印件及被授权人身份证复印件）；法定代表人直接参加磋商只需提供法定代表人资格证明书（附法定代表人身份证复印件）；采购文件凡是法定代表人之处，非法人单位的负责人均参照执行。</w:t>
            </w:r>
          </w:p>
        </w:tc>
        <w:tc>
          <w:tcPr>
            <w:tcW w:type="dxa" w:w="1661"/>
          </w:tcPr>
          <w:p>
            <w:pPr>
              <w:pStyle w:val="null3"/>
            </w:pPr>
            <w:r>
              <w:rPr>
                <w:rFonts w:ascii="仿宋_GB2312" w:hAnsi="仿宋_GB2312" w:cs="仿宋_GB2312" w:eastAsia="仿宋_GB2312"/>
              </w:rPr>
              <w:t>10.一般资格要求及特殊资格要求.docx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信用证明</w:t>
            </w:r>
          </w:p>
        </w:tc>
        <w:tc>
          <w:tcPr>
            <w:tcW w:type="dxa" w:w="3322"/>
          </w:tcPr>
          <w:p>
            <w:pPr>
              <w:pStyle w:val="null3"/>
            </w:pPr>
            <w:r>
              <w:rPr>
                <w:rFonts w:ascii="仿宋_GB2312" w:hAnsi="仿宋_GB2312" w:cs="仿宋_GB2312" w:eastAsia="仿宋_GB2312"/>
              </w:rPr>
              <w:t>供应商不得为“信用中国”网站（www.creditchina.gov.cn）列入“失信被执行人”（页面跳转至“中国执行信息公开网”http：//zxgk.court.gov.cn/shixin/）、重大税收违法案件当事人名单的供应商；不得为中国政府采购网(http://www.ccgp.gov.cn)“政府采购严重违法失信行为记录名单”中的供应商。</w:t>
            </w:r>
          </w:p>
        </w:tc>
        <w:tc>
          <w:tcPr>
            <w:tcW w:type="dxa" w:w="1661"/>
          </w:tcPr>
          <w:p>
            <w:pPr>
              <w:pStyle w:val="null3"/>
            </w:pPr>
            <w:r>
              <w:rPr>
                <w:rFonts w:ascii="仿宋_GB2312" w:hAnsi="仿宋_GB2312" w:cs="仿宋_GB2312" w:eastAsia="仿宋_GB2312"/>
              </w:rPr>
              <w:t>10.一般资格要求及特殊资格要求.docx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响应文件的签署、盖章 符合磋商文件签署盖章要求</w:t>
            </w:r>
          </w:p>
        </w:tc>
        <w:tc>
          <w:tcPr>
            <w:tcW w:type="dxa" w:w="1661"/>
          </w:tcPr>
          <w:p>
            <w:pPr>
              <w:pStyle w:val="null3"/>
            </w:pPr>
            <w:r>
              <w:rPr>
                <w:rFonts w:ascii="仿宋_GB2312" w:hAnsi="仿宋_GB2312" w:cs="仿宋_GB2312" w:eastAsia="仿宋_GB2312"/>
              </w:rPr>
              <w:t>2.商务要求偏离表.docx 13.陕西省政府采购供应商拒绝政府采购领域商业贿赂承诺书.docx 10.一般资格要求及特殊资格要求.docx 中小企业声明函 报价表 响应文件封面 14.其他材料及供应商认为有必要说明、阐述的事项.docx 残疾人福利性单位声明函 11.供应商廉洁自律承诺书.docx 12.供应商企业关系关联承诺书.docx 1.服务内容及服务要求应答表.docx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从递交响应文件的截止之日起算不少于90个日历日</w:t>
            </w:r>
          </w:p>
        </w:tc>
        <w:tc>
          <w:tcPr>
            <w:tcW w:type="dxa" w:w="1661"/>
          </w:tcPr>
          <w:p>
            <w:pPr>
              <w:pStyle w:val="null3"/>
            </w:pPr>
            <w:r>
              <w:rPr>
                <w:rFonts w:ascii="仿宋_GB2312" w:hAnsi="仿宋_GB2312" w:cs="仿宋_GB2312" w:eastAsia="仿宋_GB2312"/>
              </w:rPr>
              <w:t>10.一般资格要求及特殊资格要求.docx 1.服务内容及服务要求应答表.docx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10.一般资格要求及特殊资格要求.docx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1.响应内容出现漏项或数量与要求不符；2.要求全面响应磋商文件，不能有任何采购人不能接受的附加条件；3.规定不接受选择方案和选择报价（包括交叉折扣）的，供应商提供了选择方案/或选择报价（包括交叉折扣）；4.提供虚假证明，开具虚假资质，出现虚假应答。</w:t>
            </w:r>
          </w:p>
        </w:tc>
        <w:tc>
          <w:tcPr>
            <w:tcW w:type="dxa" w:w="1661"/>
          </w:tcPr>
          <w:p>
            <w:pPr>
              <w:pStyle w:val="null3"/>
            </w:pPr>
            <w:r>
              <w:rPr>
                <w:rFonts w:ascii="仿宋_GB2312" w:hAnsi="仿宋_GB2312" w:cs="仿宋_GB2312" w:eastAsia="仿宋_GB2312"/>
              </w:rPr>
              <w:t>2.商务要求偏离表.docx 13.陕西省政府采购供应商拒绝政府采购领域商业贿赂承诺书.docx 10.一般资格要求及特殊资格要求.docx 中小企业声明函 报价表 响应文件封面 14.其他材料及供应商认为有必要说明、阐述的事项.docx 残疾人福利性单位声明函 标的清单 1.服务内容及服务要求应答表.docx 11.供应商廉洁自律承诺书.docx 12.供应商企业关系关联承诺书.docx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技术服务方案</w:t>
            </w:r>
          </w:p>
        </w:tc>
        <w:tc>
          <w:tcPr>
            <w:tcW w:type="dxa" w:w="2492"/>
          </w:tcPr>
          <w:p>
            <w:pPr>
              <w:pStyle w:val="null3"/>
            </w:pPr>
            <w:r>
              <w:rPr>
                <w:rFonts w:ascii="仿宋_GB2312" w:hAnsi="仿宋_GB2312" w:cs="仿宋_GB2312" w:eastAsia="仿宋_GB2312"/>
              </w:rPr>
              <w:t>一、评审内容： ①统一门户平台要求；②协同办公平台要求；③执法管理平台要求；④内控财务平台要求；⑤数字档案平台要求；⑥戒毒医疗平台要求；⑦智慧党建平台要求。 二、赋分依据（满分21分）： 以上内容完整、不存在瑕疵，得21分；每缺失1项要点扣3分；要点齐全但文字描述存在瑕疵的，每处瑕疵扣1分，扣完为止。 （本项所指瑕疵，包含以下情形：内容存在逻辑错误、信息有误、内容不完善、表述前后矛盾、生搬套用非本项目方案、内容与采购需求不匹配。）</w:t>
            </w:r>
          </w:p>
        </w:tc>
        <w:tc>
          <w:tcPr>
            <w:tcW w:type="dxa" w:w="831"/>
          </w:tcPr>
          <w:p>
            <w:pPr>
              <w:pStyle w:val="null3"/>
              <w:jc w:val="right"/>
            </w:pPr>
            <w:r>
              <w:rPr>
                <w:rFonts w:ascii="仿宋_GB2312" w:hAnsi="仿宋_GB2312" w:cs="仿宋_GB2312" w:eastAsia="仿宋_GB2312"/>
              </w:rPr>
              <w:t>21.0000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3.技术服务.docx</w:t>
            </w:r>
          </w:p>
        </w:tc>
      </w:tr>
      <w:tr>
        <w:tc>
          <w:tcPr>
            <w:tcW w:type="dxa" w:w="831"/>
            <w:vMerge/>
          </w:tcPr>
          <w:p/>
        </w:tc>
        <w:tc>
          <w:tcPr>
            <w:tcW w:type="dxa" w:w="1661"/>
          </w:tcPr>
          <w:p>
            <w:pPr>
              <w:pStyle w:val="null3"/>
            </w:pPr>
            <w:r>
              <w:rPr>
                <w:rFonts w:ascii="仿宋_GB2312" w:hAnsi="仿宋_GB2312" w:cs="仿宋_GB2312" w:eastAsia="仿宋_GB2312"/>
              </w:rPr>
              <w:t>服务质量控制措施及承诺</w:t>
            </w:r>
          </w:p>
        </w:tc>
        <w:tc>
          <w:tcPr>
            <w:tcW w:type="dxa" w:w="2492"/>
          </w:tcPr>
          <w:p>
            <w:pPr>
              <w:pStyle w:val="null3"/>
            </w:pPr>
            <w:r>
              <w:rPr>
                <w:rFonts w:ascii="仿宋_GB2312" w:hAnsi="仿宋_GB2312" w:cs="仿宋_GB2312" w:eastAsia="仿宋_GB2312"/>
              </w:rPr>
              <w:t>一、评审内容： ①有利于本项目实施的服务承诺；②保密承诺；③质量保证措施。 二、赋分依据（满分9分）： 以上内容完整、不存在瑕疵，得9分；每缺失1项要点扣3分；要点齐全但文字描述存在瑕疵的，每处瑕疵扣1分，扣完为止。 （本项所指瑕疵，包含以下情形：内容存在逻辑错误、信息有误、内容不完善、表述前后矛盾、生搬套用非本项目方案、内容与采购需求不匹配。）</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4.服务质量控制措施及承诺.docx</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一、项目团队： ①团队人员架构，岗位人员配置合理；②有丰富的项目经验；③团队人员专业技术能力。 二、赋分依据（满分9分）： 以上内容完整、不存在瑕疵，得9分；每缺失1项要点扣3分；要点齐全但文字描述存在瑕疵的，每处瑕疵扣1分，扣完为止。 （本项所指瑕疵，包含以下情形：内容存在逻辑错误、信息有误、内容不完善、表述前后矛盾、生搬套用非本项目方案、内容与采购需求不匹配。）</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6.项目团队.docx</w:t>
            </w:r>
          </w:p>
        </w:tc>
      </w:tr>
      <w:tr>
        <w:tc>
          <w:tcPr>
            <w:tcW w:type="dxa" w:w="831"/>
            <w:vMerge/>
          </w:tcPr>
          <w:p/>
        </w:tc>
        <w:tc>
          <w:tcPr>
            <w:tcW w:type="dxa" w:w="1661"/>
          </w:tcPr>
          <w:p>
            <w:pPr>
              <w:pStyle w:val="null3"/>
            </w:pPr>
            <w:r>
              <w:rPr>
                <w:rFonts w:ascii="仿宋_GB2312" w:hAnsi="仿宋_GB2312" w:cs="仿宋_GB2312" w:eastAsia="仿宋_GB2312"/>
              </w:rPr>
              <w:t>重难点分析</w:t>
            </w:r>
          </w:p>
        </w:tc>
        <w:tc>
          <w:tcPr>
            <w:tcW w:type="dxa" w:w="2492"/>
          </w:tcPr>
          <w:p>
            <w:pPr>
              <w:pStyle w:val="null3"/>
            </w:pPr>
            <w:r>
              <w:rPr>
                <w:rFonts w:ascii="仿宋_GB2312" w:hAnsi="仿宋_GB2312" w:cs="仿宋_GB2312" w:eastAsia="仿宋_GB2312"/>
              </w:rPr>
              <w:t>一、评审内容： ①重点分析及控制措施；②难点分析及控制措施。 二、赋分依据（满分5分） 每完全满足一个评审标准得2.5分，满分5分；未提供或不适用于本项目得0分。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5.重难点分析.docx</w:t>
            </w:r>
          </w:p>
        </w:tc>
      </w:tr>
      <w:tr>
        <w:tc>
          <w:tcPr>
            <w:tcW w:type="dxa" w:w="831"/>
            <w:vMerge/>
          </w:tcPr>
          <w:p/>
        </w:tc>
        <w:tc>
          <w:tcPr>
            <w:tcW w:type="dxa" w:w="1661"/>
          </w:tcPr>
          <w:p>
            <w:pPr>
              <w:pStyle w:val="null3"/>
            </w:pPr>
            <w:r>
              <w:rPr>
                <w:rFonts w:ascii="仿宋_GB2312" w:hAnsi="仿宋_GB2312" w:cs="仿宋_GB2312" w:eastAsia="仿宋_GB2312"/>
              </w:rPr>
              <w:t>企业实力</w:t>
            </w:r>
          </w:p>
        </w:tc>
        <w:tc>
          <w:tcPr>
            <w:tcW w:type="dxa" w:w="2492"/>
          </w:tcPr>
          <w:p>
            <w:pPr>
              <w:pStyle w:val="null3"/>
            </w:pPr>
            <w:r>
              <w:rPr>
                <w:rFonts w:ascii="仿宋_GB2312" w:hAnsi="仿宋_GB2312" w:cs="仿宋_GB2312" w:eastAsia="仿宋_GB2312"/>
              </w:rPr>
              <w:t>1、项目负责人具备高级职称的得4分，同时具备系统集成项目管理工程师资格的加2分，最多得6分，未提供不得分； 2、拟派项目组成员（除项目负责人）具备高级职称或系统集成项目管理工程师资格的，每提供1名得2分，最高得4分，未提供不得分； 3、具有运维、数据、安全等相关软件著作权，每提供一项得1分，最多得4分，未提供不得分； 4、具有认证范围包含运维服务的软件信息安全管理体系认证证书、信息技术服务管理体系认证证书、售后服务认证证书的各得2分，最多得6分，未提供不得分。 注：提供相应有效证明材料。</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8.企业实力.docx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 ①故障响应时间及应对措施、②售后服务承诺、③重复故障及疑难问题专项整改措施、④服务满意度调查、⑤改进措施等进行描述。 二、赋分依据（满分15分）： 每完全满足一个评审标准得3分，满分15分； 未提供或不适用于本项目得0分。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7.售后服务.docx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供应商提供自2023年6月1日起至今（以合同签订时间为准）承担过的类似目业绩。每提供1个有效业绩得2分，最高得6分。 注：须提供合同关键页、合同签署页，清晰体现项目名称、服务内容、合同签订时间，材料缺失、信息不全、无法判定的，不计分。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9.业绩.docx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价格分统一采用低价优先法计算，即满足招标文件要求且投标价格最低的投标报价为评标基准价，其价格分为满分。其他投标人的价格分统一按照下列公式计算： 投标报价得分=(评标基准价／投标报价)×价格权值×100 计算分数时四舍五入取小数点后两位。</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详见附件：1.服务内容及服务要求应答表.docx</w:t>
      </w:r>
    </w:p>
    <w:p>
      <w:pPr>
        <w:pStyle w:val="null3"/>
        <w:ind w:firstLine="960"/>
      </w:pPr>
      <w:r>
        <w:rPr>
          <w:rFonts w:ascii="仿宋_GB2312" w:hAnsi="仿宋_GB2312" w:cs="仿宋_GB2312" w:eastAsia="仿宋_GB2312"/>
        </w:rPr>
        <w:t>详见附件：2.商务要求偏离表.docx</w:t>
      </w:r>
    </w:p>
    <w:p>
      <w:pPr>
        <w:pStyle w:val="null3"/>
        <w:ind w:firstLine="960"/>
      </w:pPr>
      <w:r>
        <w:rPr>
          <w:rFonts w:ascii="仿宋_GB2312" w:hAnsi="仿宋_GB2312" w:cs="仿宋_GB2312" w:eastAsia="仿宋_GB2312"/>
        </w:rPr>
        <w:t>详见附件：3.技术服务.docx</w:t>
      </w:r>
    </w:p>
    <w:p>
      <w:pPr>
        <w:pStyle w:val="null3"/>
        <w:ind w:firstLine="960"/>
      </w:pPr>
      <w:r>
        <w:rPr>
          <w:rFonts w:ascii="仿宋_GB2312" w:hAnsi="仿宋_GB2312" w:cs="仿宋_GB2312" w:eastAsia="仿宋_GB2312"/>
        </w:rPr>
        <w:t>详见附件：4.服务质量控制措施及承诺.docx</w:t>
      </w:r>
    </w:p>
    <w:p>
      <w:pPr>
        <w:pStyle w:val="null3"/>
        <w:ind w:firstLine="960"/>
      </w:pPr>
      <w:r>
        <w:rPr>
          <w:rFonts w:ascii="仿宋_GB2312" w:hAnsi="仿宋_GB2312" w:cs="仿宋_GB2312" w:eastAsia="仿宋_GB2312"/>
        </w:rPr>
        <w:t>详见附件：5.重难点分析.docx</w:t>
      </w:r>
    </w:p>
    <w:p>
      <w:pPr>
        <w:pStyle w:val="null3"/>
        <w:ind w:firstLine="960"/>
      </w:pPr>
      <w:r>
        <w:rPr>
          <w:rFonts w:ascii="仿宋_GB2312" w:hAnsi="仿宋_GB2312" w:cs="仿宋_GB2312" w:eastAsia="仿宋_GB2312"/>
        </w:rPr>
        <w:t>详见附件：6.项目团队.docx</w:t>
      </w:r>
    </w:p>
    <w:p>
      <w:pPr>
        <w:pStyle w:val="null3"/>
        <w:ind w:firstLine="960"/>
      </w:pPr>
      <w:r>
        <w:rPr>
          <w:rFonts w:ascii="仿宋_GB2312" w:hAnsi="仿宋_GB2312" w:cs="仿宋_GB2312" w:eastAsia="仿宋_GB2312"/>
        </w:rPr>
        <w:t>详见附件：7.售后服务.docx</w:t>
      </w:r>
    </w:p>
    <w:p>
      <w:pPr>
        <w:pStyle w:val="null3"/>
        <w:ind w:firstLine="960"/>
      </w:pPr>
      <w:r>
        <w:rPr>
          <w:rFonts w:ascii="仿宋_GB2312" w:hAnsi="仿宋_GB2312" w:cs="仿宋_GB2312" w:eastAsia="仿宋_GB2312"/>
        </w:rPr>
        <w:t>详见附件：8.企业实力.docx</w:t>
      </w:r>
    </w:p>
    <w:p>
      <w:pPr>
        <w:pStyle w:val="null3"/>
        <w:ind w:firstLine="960"/>
      </w:pPr>
      <w:r>
        <w:rPr>
          <w:rFonts w:ascii="仿宋_GB2312" w:hAnsi="仿宋_GB2312" w:cs="仿宋_GB2312" w:eastAsia="仿宋_GB2312"/>
        </w:rPr>
        <w:t>详见附件：9.业绩.docx</w:t>
      </w:r>
    </w:p>
    <w:p>
      <w:pPr>
        <w:pStyle w:val="null3"/>
        <w:ind w:firstLine="960"/>
      </w:pPr>
      <w:r>
        <w:rPr>
          <w:rFonts w:ascii="仿宋_GB2312" w:hAnsi="仿宋_GB2312" w:cs="仿宋_GB2312" w:eastAsia="仿宋_GB2312"/>
        </w:rPr>
        <w:t>详见附件：10.一般资格要求及特殊资格要求.docx</w:t>
      </w:r>
    </w:p>
    <w:p>
      <w:pPr>
        <w:pStyle w:val="null3"/>
        <w:ind w:firstLine="960"/>
      </w:pPr>
      <w:r>
        <w:rPr>
          <w:rFonts w:ascii="仿宋_GB2312" w:hAnsi="仿宋_GB2312" w:cs="仿宋_GB2312" w:eastAsia="仿宋_GB2312"/>
        </w:rPr>
        <w:t>详见附件：11.供应商廉洁自律承诺书.docx</w:t>
      </w:r>
    </w:p>
    <w:p>
      <w:pPr>
        <w:pStyle w:val="null3"/>
        <w:ind w:firstLine="960"/>
      </w:pPr>
      <w:r>
        <w:rPr>
          <w:rFonts w:ascii="仿宋_GB2312" w:hAnsi="仿宋_GB2312" w:cs="仿宋_GB2312" w:eastAsia="仿宋_GB2312"/>
        </w:rPr>
        <w:t>详见附件：12.供应商企业关系关联承诺书.docx</w:t>
      </w:r>
    </w:p>
    <w:p>
      <w:pPr>
        <w:pStyle w:val="null3"/>
        <w:ind w:firstLine="960"/>
      </w:pPr>
      <w:r>
        <w:rPr>
          <w:rFonts w:ascii="仿宋_GB2312" w:hAnsi="仿宋_GB2312" w:cs="仿宋_GB2312" w:eastAsia="仿宋_GB2312"/>
        </w:rPr>
        <w:t>详见附件：13.陕西省政府采购供应商拒绝政府采购领域商业贿赂承诺书.docx</w:t>
      </w:r>
    </w:p>
    <w:p>
      <w:pPr>
        <w:pStyle w:val="null3"/>
        <w:ind w:firstLine="960"/>
      </w:pPr>
      <w:r>
        <w:rPr>
          <w:rFonts w:ascii="仿宋_GB2312" w:hAnsi="仿宋_GB2312" w:cs="仿宋_GB2312" w:eastAsia="仿宋_GB2312"/>
        </w:rPr>
        <w:t>详见附件：14.其他材料及供应商认为有必要说明、阐述的事项.docx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详见附件：15.拟签订的合同文本.docx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