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FBCBA">
      <w:pPr>
        <w:pStyle w:val="6"/>
        <w:pageBreakBefore w:val="0"/>
        <w:overflowPunct/>
        <w:bidi w:val="0"/>
        <w:spacing w:line="500" w:lineRule="exact"/>
        <w:rPr>
          <w:rFonts w:hint="eastAsia" w:ascii="仿宋" w:hAnsi="仿宋" w:eastAsia="仿宋" w:cs="仿宋"/>
          <w:color w:val="auto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sz w:val="36"/>
        </w:rPr>
        <w:t>拟签订采购合同文本</w:t>
      </w:r>
      <w:r>
        <w:rPr>
          <w:rFonts w:hint="eastAsia" w:ascii="仿宋" w:hAnsi="仿宋" w:eastAsia="仿宋" w:cs="仿宋"/>
          <w:b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最终以实际签订合同为准</w:t>
      </w:r>
      <w:r>
        <w:rPr>
          <w:rFonts w:hint="eastAsia" w:ascii="仿宋" w:hAnsi="仿宋" w:eastAsia="仿宋" w:cs="仿宋"/>
          <w:b/>
          <w:sz w:val="21"/>
          <w:szCs w:val="21"/>
          <w:lang w:eastAsia="zh-CN"/>
        </w:rPr>
        <w:t>）</w:t>
      </w:r>
    </w:p>
    <w:p w14:paraId="49179D8C">
      <w:pPr>
        <w:pStyle w:val="4"/>
        <w:ind w:firstLine="420" w:firstLineChars="200"/>
        <w:rPr>
          <w:rFonts w:hint="eastAsia" w:ascii="仿宋" w:hAnsi="仿宋" w:eastAsia="仿宋" w:cs="仿宋"/>
          <w:szCs w:val="32"/>
          <w:highlight w:val="none"/>
        </w:rPr>
      </w:pPr>
    </w:p>
    <w:p w14:paraId="25DA1EFF">
      <w:pPr>
        <w:widowControl/>
        <w:spacing w:after="100" w:afterAutospacing="1" w:line="240" w:lineRule="atLeast"/>
        <w:ind w:firstLine="602"/>
        <w:jc w:val="center"/>
        <w:rPr>
          <w:rFonts w:ascii="Arial" w:hAnsi="Arial"/>
          <w:b/>
          <w:bCs/>
          <w:color w:val="auto"/>
          <w:sz w:val="30"/>
          <w:szCs w:val="30"/>
          <w:highlight w:val="none"/>
        </w:rPr>
      </w:pPr>
      <w:r>
        <w:rPr>
          <w:rFonts w:hint="eastAsia" w:ascii="Arial" w:hAnsi="Arial"/>
          <w:b/>
          <w:bCs/>
          <w:color w:val="auto"/>
          <w:sz w:val="30"/>
          <w:szCs w:val="30"/>
          <w:highlight w:val="none"/>
        </w:rPr>
        <w:t>西北妇女儿童医院职工食堂食材配送服务项目合同</w:t>
      </w:r>
    </w:p>
    <w:p w14:paraId="3BE3E89D">
      <w:pPr>
        <w:pStyle w:val="3"/>
        <w:ind w:firstLine="602"/>
        <w:jc w:val="center"/>
        <w:rPr>
          <w:color w:val="auto"/>
          <w:highlight w:val="none"/>
        </w:rPr>
      </w:pPr>
      <w:r>
        <w:rPr>
          <w:rFonts w:hint="eastAsia" w:ascii="Arial" w:hAnsi="Arial"/>
          <w:b/>
          <w:bCs/>
          <w:color w:val="auto"/>
          <w:sz w:val="30"/>
          <w:szCs w:val="30"/>
          <w:highlight w:val="none"/>
        </w:rPr>
        <w:t>（以实际签订为准）</w:t>
      </w:r>
    </w:p>
    <w:p w14:paraId="315FAF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甲方（采购人)：</w:t>
      </w:r>
    </w:p>
    <w:p w14:paraId="3EEC9E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地址：</w:t>
      </w:r>
    </w:p>
    <w:p w14:paraId="169866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乙方（供应商)：</w:t>
      </w:r>
    </w:p>
    <w:p w14:paraId="6F9FFB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地址：</w:t>
      </w:r>
    </w:p>
    <w:p w14:paraId="10BC5DA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540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>甲、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乙双方本着公正、诚信、互惠互利、友好合作的原则，根据《中华人民共和国政府采购法》、《中华人民共和国民法典》及相关法律规定，就由乙方负责向甲方提供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u w:val="single"/>
        </w:rPr>
        <w:t>职工食堂食材配送服务项目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相关事宜，为保证双方的权益，特订立本合同。</w:t>
      </w:r>
    </w:p>
    <w:p w14:paraId="2561F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一、项目概况</w:t>
      </w:r>
    </w:p>
    <w:p w14:paraId="39EE10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7CF9A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110EB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二、组成本合同的文件</w:t>
      </w:r>
    </w:p>
    <w:p w14:paraId="7C6D2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协议书；</w:t>
      </w:r>
    </w:p>
    <w:p w14:paraId="017BD7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中标通知书、投标文件、招标文件、澄清、招标补充文件；</w:t>
      </w:r>
    </w:p>
    <w:p w14:paraId="0709FA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相关服务建议书；</w:t>
      </w:r>
    </w:p>
    <w:p w14:paraId="24D9AB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 附录，即：附表内相关服务的范围和内容；</w:t>
      </w:r>
    </w:p>
    <w:p w14:paraId="4D8D7D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本合同签订后，双方依法签订的补充协议也是本合同文件的组成部分。</w:t>
      </w:r>
    </w:p>
    <w:p w14:paraId="481B501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合同金额</w:t>
      </w:r>
    </w:p>
    <w:p w14:paraId="5ADC7C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中标优惠比例：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</w:p>
    <w:p w14:paraId="57A66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合同优惠比例即中标优惠比例，为一次性报价，不受市场价变化或实际工作量变化的影响。合同价格为含税价，供应商（中标人）提供产品所发生的一切税（包括增值税）费等都已包含于合同价款中。</w:t>
      </w:r>
    </w:p>
    <w:p w14:paraId="2550F4C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结算方式：</w:t>
      </w:r>
    </w:p>
    <w:p w14:paraId="066EC8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采购人根据实际用量，凭定价单和验收单，采用转帐的形式结算，投标人需于次月5日前提供货款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额符合税法规定的正规发票，达到付款条件后15日内支付上月的费用（节假日顺延）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预算金额为结算上限金额。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</w:p>
    <w:p w14:paraId="7C9FF84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配送服务期限及内容</w:t>
      </w:r>
    </w:p>
    <w:p w14:paraId="0253AC16"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服务期：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详见招标文件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；</w:t>
      </w:r>
    </w:p>
    <w:p w14:paraId="5EFD87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2、在合同期内，乙方按甲方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3F3408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3、送货：乙方须按甲方要求于每日早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u w:val="single"/>
        </w:rPr>
        <w:t xml:space="preserve"> 7：30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前，将所订购的货物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4A2C4A26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验收标准:</w:t>
      </w:r>
    </w:p>
    <w:p w14:paraId="20256C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56C6C64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库管、采购员负责入库食品检验，值班厨师配合质量验收，食品验收填写《原料购进验收单》，验收标准如下：</w:t>
      </w:r>
    </w:p>
    <w:p w14:paraId="22B213D9"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clear" w:pos="72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105" w:leftChars="5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24B03530"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clear" w:pos="72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</w:t>
      </w:r>
    </w:p>
    <w:p w14:paraId="16F5459C"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clear" w:pos="72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105" w:leftChars="5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（3）包装污秽不洁、严重破损、运输工具不洁等造成污染的产品不得验收入库；</w:t>
      </w:r>
    </w:p>
    <w:p w14:paraId="5A7C3CF9">
      <w:pPr>
        <w:pStyle w:val="11"/>
        <w:keepNext w:val="0"/>
        <w:keepLines w:val="0"/>
        <w:pageBreakBefore w:val="0"/>
        <w:numPr>
          <w:ilvl w:val="0"/>
          <w:numId w:val="0"/>
        </w:numPr>
        <w:tabs>
          <w:tab w:val="clear" w:pos="72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6B3C0B59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798C4EF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（6）入库时，保管员要清点入库物品的数量、规格，做到数量、规格、品种准确无误，入库时按不同的材质、规格、功能和要求，分类、分别储存，做到账物相符。</w:t>
      </w:r>
    </w:p>
    <w:p w14:paraId="16BD45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六、履约保证金：</w:t>
      </w:r>
    </w:p>
    <w:p w14:paraId="762F540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（1）各标段中标单位的在签订供货合同前，需缴纳标段合同金额的3%履约保证金，作为供货方履行协议及食品安全的担保，如有违约，合同终止。</w:t>
      </w:r>
    </w:p>
    <w:p w14:paraId="10B6A73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供货方为采购方食堂提供安全、卫生、优质的产品，切实要履行自己的承诺。如果供货方提供的产品出现质量问题，在收到采购方通知后24小时内没有弥补缺陷，采购方可采取必要的补救措施，但其风险和费用将由供货方承担。采购方亦可从货款和供货方履约保证金中扣回索赔金额；如果严重影响到采购方的正常工作秩序，采购方有权酌情扣除履约保证金，并立即解除合同。</w:t>
      </w:r>
    </w:p>
    <w:p w14:paraId="4A38F45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（3）供货方如违反以下规定(之一者)，采购方根据具体情况有权在供货方履约保证金中酌情扣除违约金 ，并有权解除本合同。</w:t>
      </w:r>
    </w:p>
    <w:p w14:paraId="0601A863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①腐败变质、油脂酸败、霉变、生虫、污秽不洁、混有异物或者其他感官性状异常，对人体健康有害的;</w:t>
      </w:r>
    </w:p>
    <w:p w14:paraId="08A59318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②含有毒、有害物质或者被有害物质污染，对人体健康有害的;</w:t>
      </w:r>
    </w:p>
    <w:p w14:paraId="5308AAE0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③含有致病性寄生虫、微生物或者微生物含量超过国家限定标准的;</w:t>
      </w:r>
    </w:p>
    <w:p w14:paraId="0E90453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④未经动物检疫部门检疫、检验或者检疫、检验不合格的肉类及其制品;</w:t>
      </w:r>
    </w:p>
    <w:p w14:paraId="4FBB3F44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⑤病死、毒死或者死因不明的禽、蓄、兽、水产动物等及其制品;</w:t>
      </w:r>
    </w:p>
    <w:p w14:paraId="5D770511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⑥掺假、掺杂、伪造，影响营养、卫生的;</w:t>
      </w:r>
    </w:p>
    <w:p w14:paraId="3A0A568F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⑦用非食品原料加工的，加入非食品用化学物质或者将非食品当作食品的;</w:t>
      </w:r>
    </w:p>
    <w:p w14:paraId="39A78FA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⑧中标单位不能按时、按要求供货或不能及时退、换货；</w:t>
      </w:r>
    </w:p>
    <w:p w14:paraId="6C3FD6FB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⑨不经双方协商，供货向采购方提供不符合合同规定的产品；</w:t>
      </w:r>
    </w:p>
    <w:p w14:paraId="6827540A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⑩供货在市场行情降价的情况下，不及时通知采购方调整产品价格；供货方供货价明显超过超市挂牌价或市场价的，除按照甲方询价价格进行结算外，将视情节轻重对供货商进行处罚。</w:t>
      </w:r>
    </w:p>
    <w:p w14:paraId="47D00363">
      <w:pPr>
        <w:pStyle w:val="9"/>
        <w:keepNext w:val="0"/>
        <w:keepLines w:val="0"/>
        <w:pageBreakBefore w:val="0"/>
        <w:numPr>
          <w:ilvl w:val="0"/>
          <w:numId w:val="4"/>
        </w:numPr>
        <w:tabs>
          <w:tab w:val="clear" w:pos="1440"/>
        </w:tabs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left="-4" w:leftChars="-2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供货协议终结后30个工作日之内，供货方持履约保证金收款凭证退还余款（不计利息）。</w:t>
      </w:r>
    </w:p>
    <w:p w14:paraId="121EBB31"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甲方的权利和义务</w:t>
      </w:r>
    </w:p>
    <w:p w14:paraId="400012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（1）在乙方无违约的前提下，甲方委托乙方作为定点采购配送单位，承担本合同类的食堂原材料采购配送工作；</w:t>
      </w:r>
    </w:p>
    <w:p w14:paraId="5DD49D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（2）甲方有权监督乙方的原材料采购配送工作；</w:t>
      </w:r>
    </w:p>
    <w:p w14:paraId="40AD7E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5ACF1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（4）甲方如有特殊情况，可提前微信图片或电话通知乙方临时增加食材配送工作，乙方应给予积极配合；</w:t>
      </w:r>
    </w:p>
    <w:p w14:paraId="55F2C7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（5）乙方配送的同品种2/3食材的价格高于他人价格，经双方协商无果后，甲方可以提前终止合同。</w:t>
      </w:r>
    </w:p>
    <w:p w14:paraId="5DD17A6C"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乙方的权利和义务</w:t>
      </w:r>
    </w:p>
    <w:p w14:paraId="48525B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（1）乙方须按本合同要求，保质保量完成甲方的原材料采购配送工作；</w:t>
      </w:r>
    </w:p>
    <w:p w14:paraId="1A827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1A74E9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12317B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（4）乙方从甲方得到的采购信息，未经甲方同意，乙方不得向第三方公开，泄漏或使用；</w:t>
      </w:r>
    </w:p>
    <w:p w14:paraId="0F56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（5）乙方配送食材原材料被食品监督部门检验不合格造成不良后果，由乙方承担全部责任，并承担全部经济损失；</w:t>
      </w:r>
    </w:p>
    <w:p w14:paraId="1732B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（6）食材供应发生群体食物中毒事故，经检验是乙方配送食材原因的，乙方承担相应事故责任，并承担全部经济损失。</w:t>
      </w:r>
    </w:p>
    <w:p w14:paraId="10E5DD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2"/>
        <w:textAlignment w:val="auto"/>
        <w:rPr>
          <w:rFonts w:hint="eastAsia" w:ascii="宋体" w:hAnsi="宋体" w:eastAsia="宋体" w:cs="宋体"/>
          <w:b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15"/>
          <w:kern w:val="0"/>
          <w:sz w:val="24"/>
          <w:szCs w:val="24"/>
          <w:highlight w:val="none"/>
        </w:rPr>
        <w:t>九、违约责任</w:t>
      </w:r>
    </w:p>
    <w:p w14:paraId="5D6BDC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1、乙方送货质量问题给甲方造成损失的，由乙方承担全部责任。由于甲方保管原因造成的食品安全问题由甲方承担全部责任。</w:t>
      </w:r>
    </w:p>
    <w:p w14:paraId="0E02DE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270" w:firstLineChars="10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　2、甲方逾期未向乙方支付货款，乙方催要无果的，乙方有权终止向甲方供货，并催收货款，按所欠款项总金额的0.5%/天向违约方收取违约滞纳金，同时终止合同。</w:t>
      </w:r>
    </w:p>
    <w:p w14:paraId="1F30AD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　  3、乙方违反合同职责约定，甲方有权要求乙方及时整改，如乙方整改后仍不能达到甲方要求，甲方有权终止合同。</w:t>
      </w:r>
    </w:p>
    <w:p w14:paraId="298C60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4、任何一方要终止合同都应提前一周(即：7天)以书面方式通知对方。</w:t>
      </w:r>
    </w:p>
    <w:p w14:paraId="096458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5、乙方严格按照甲方订单指定采购食材，如因甲方订单失误造成乙方采购货品错误，乙方不承担责任。</w:t>
      </w:r>
    </w:p>
    <w:p w14:paraId="69ACE0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2"/>
        <w:textAlignment w:val="auto"/>
        <w:rPr>
          <w:rFonts w:hint="eastAsia" w:ascii="宋体" w:hAnsi="宋体" w:eastAsia="宋体" w:cs="宋体"/>
          <w:b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15"/>
          <w:kern w:val="0"/>
          <w:sz w:val="24"/>
          <w:szCs w:val="24"/>
          <w:highlight w:val="none"/>
        </w:rPr>
        <w:t>十、合同生效及其他</w:t>
      </w:r>
    </w:p>
    <w:p w14:paraId="281AC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1、本合同经双方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代表签字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>或盖章并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加盖公章后生效。</w:t>
      </w:r>
    </w:p>
    <w:p w14:paraId="26D2A5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2、本合同一式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份，甲方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份、乙方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份。</w:t>
      </w:r>
    </w:p>
    <w:p w14:paraId="7A1C9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3、经双方签字核认的送货清单，作为本合同附件同具法律效力。</w:t>
      </w:r>
    </w:p>
    <w:p w14:paraId="361DAB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4、本合同未尽事宜，双方协商解决，发生纠纷时如双方协商不成可申请甲方所在地人民法院裁决。</w:t>
      </w:r>
    </w:p>
    <w:p w14:paraId="2B59DF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</w:p>
    <w:p w14:paraId="31D06B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270" w:firstLineChars="10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甲方：(盖章)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乙方：(盖章)</w:t>
      </w:r>
    </w:p>
    <w:p w14:paraId="32DA95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270" w:firstLineChars="10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法定代表人：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法定代表人：           </w:t>
      </w:r>
    </w:p>
    <w:p w14:paraId="06B5F406">
      <w:pPr>
        <w:keepNext w:val="0"/>
        <w:keepLines w:val="0"/>
        <w:pageBreakBefore w:val="0"/>
        <w:widowControl/>
        <w:tabs>
          <w:tab w:val="left" w:pos="5245"/>
          <w:tab w:val="left" w:pos="5387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270" w:firstLineChars="10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电 话：     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电 话：</w:t>
      </w:r>
    </w:p>
    <w:p w14:paraId="0D5F3E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开户银行：</w:t>
      </w:r>
    </w:p>
    <w:p w14:paraId="19F28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账号：</w:t>
      </w:r>
    </w:p>
    <w:p w14:paraId="42D813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590" w:firstLineChars="170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>纳税人识别号：</w:t>
      </w:r>
    </w:p>
    <w:p w14:paraId="52EC8B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</w:p>
    <w:p w14:paraId="080C5E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540"/>
        <w:textAlignment w:val="auto"/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</w:pPr>
    </w:p>
    <w:p w14:paraId="7744A049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15"/>
          <w:kern w:val="0"/>
          <w:sz w:val="24"/>
          <w:szCs w:val="24"/>
          <w:highlight w:val="none"/>
        </w:rPr>
        <w:t>年 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1F9BC8"/>
    <w:multiLevelType w:val="singleLevel"/>
    <w:tmpl w:val="DA1F9BC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2B87AD"/>
    <w:multiLevelType w:val="singleLevel"/>
    <w:tmpl w:val="312B87AD"/>
    <w:lvl w:ilvl="0" w:tentative="0">
      <w:start w:val="4"/>
      <w:numFmt w:val="decimal"/>
      <w:suff w:val="nothing"/>
      <w:lvlText w:val="（%1）"/>
      <w:lvlJc w:val="left"/>
    </w:lvl>
  </w:abstractNum>
  <w:abstractNum w:abstractNumId="2">
    <w:nsid w:val="3CD4B023"/>
    <w:multiLevelType w:val="singleLevel"/>
    <w:tmpl w:val="3CD4B02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8E06D8E"/>
    <w:multiLevelType w:val="multilevel"/>
    <w:tmpl w:val="78E06D8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9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76768"/>
    <w:rsid w:val="0C792A5A"/>
    <w:rsid w:val="278C738E"/>
    <w:rsid w:val="363B1EED"/>
    <w:rsid w:val="366B26D3"/>
    <w:rsid w:val="446245CF"/>
    <w:rsid w:val="6BA76768"/>
    <w:rsid w:val="72F0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9">
    <w:name w:val="一级条标题"/>
    <w:next w:val="10"/>
    <w:qFormat/>
    <w:uiPriority w:val="0"/>
    <w:pPr>
      <w:numPr>
        <w:ilvl w:val="1"/>
        <w:numId w:val="1"/>
      </w:numPr>
      <w:spacing w:beforeLines="50" w:after="200" w:afterLines="50" w:line="240" w:lineRule="auto"/>
      <w:ind w:left="124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0" w:line="240" w:lineRule="auto"/>
      <w:ind w:firstLine="42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  <w:style w:type="paragraph" w:customStyle="1" w:styleId="11">
    <w:name w:val="字母编号列项（一级）"/>
    <w:qFormat/>
    <w:uiPriority w:val="0"/>
    <w:pPr>
      <w:tabs>
        <w:tab w:val="left" w:pos="720"/>
        <w:tab w:val="left" w:pos="839"/>
      </w:tabs>
      <w:spacing w:after="0" w:line="240" w:lineRule="auto"/>
      <w:ind w:left="720" w:hanging="72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5184</Words>
  <Characters>5626</Characters>
  <Lines>0</Lines>
  <Paragraphs>0</Paragraphs>
  <TotalTime>0</TotalTime>
  <ScaleCrop>false</ScaleCrop>
  <LinksUpToDate>false</LinksUpToDate>
  <CharactersWithSpaces>5751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2026-03-05T09:37:00Z</dcterms:created>
  <dc:creator>H</dc:creator>
  <cp:lastModifiedBy>H</cp:lastModifiedBy>
  <dcterms:modified xsi:type="dcterms:W3CDTF">2026-04-14T07:25:45Z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8B37C58A154B4E349C8C1FB4E2FCC044_11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