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04C474">
      <w:pPr>
        <w:spacing w:line="440" w:lineRule="exact"/>
        <w:jc w:val="center"/>
        <w:outlineLvl w:val="0"/>
        <w:rPr>
          <w:b/>
          <w:sz w:val="44"/>
          <w:szCs w:val="44"/>
          <w:highlight w:val="yellow"/>
        </w:rPr>
      </w:pPr>
      <w:r>
        <w:rPr>
          <w:rFonts w:hint="eastAsia"/>
          <w:b/>
          <w:sz w:val="44"/>
          <w:szCs w:val="44"/>
          <w:highlight w:val="none"/>
        </w:rPr>
        <w:t>磋商内容及采购需求</w:t>
      </w:r>
    </w:p>
    <w:p w14:paraId="655EFDAE">
      <w:pPr>
        <w:spacing w:line="440" w:lineRule="exact"/>
        <w:rPr>
          <w:rFonts w:hint="eastAsia"/>
          <w:b/>
          <w:sz w:val="44"/>
          <w:szCs w:val="44"/>
        </w:rPr>
      </w:pPr>
    </w:p>
    <w:p w14:paraId="74951F43">
      <w:pPr>
        <w:numPr>
          <w:ilvl w:val="0"/>
          <w:numId w:val="1"/>
        </w:numPr>
        <w:snapToGrid w:val="0"/>
        <w:spacing w:line="360" w:lineRule="auto"/>
        <w:ind w:firstLine="241" w:firstLineChars="100"/>
        <w:rPr>
          <w:rFonts w:hint="eastAsia" w:ascii="宋体" w:hAnsi="宋体" w:cs="宋体"/>
          <w:b/>
          <w:sz w:val="24"/>
          <w:szCs w:val="24"/>
        </w:rPr>
      </w:pPr>
      <w:r>
        <w:rPr>
          <w:rFonts w:hint="eastAsia" w:ascii="宋体" w:hAnsi="宋体" w:cs="宋体"/>
          <w:b/>
          <w:sz w:val="24"/>
          <w:szCs w:val="24"/>
        </w:rPr>
        <w:t>磋商内容</w:t>
      </w:r>
      <w:r>
        <w:rPr>
          <w:rFonts w:hint="eastAsia" w:ascii="宋体" w:hAnsi="宋体" w:cs="宋体"/>
          <w:b/>
          <w:sz w:val="24"/>
          <w:szCs w:val="24"/>
          <w:lang w:val="en-US" w:eastAsia="zh-CN"/>
        </w:rPr>
        <w:t>一览表</w:t>
      </w:r>
      <w:r>
        <w:rPr>
          <w:rFonts w:hint="eastAsia" w:ascii="宋体" w:hAnsi="宋体" w:cs="宋体"/>
          <w:b/>
          <w:sz w:val="24"/>
          <w:szCs w:val="24"/>
        </w:rPr>
        <w:t>：</w:t>
      </w:r>
    </w:p>
    <w:tbl>
      <w:tblPr>
        <w:tblStyle w:val="3"/>
        <w:tblW w:w="4528"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81"/>
        <w:gridCol w:w="1005"/>
        <w:gridCol w:w="2189"/>
        <w:gridCol w:w="3765"/>
      </w:tblGrid>
      <w:tr w14:paraId="79C6BB5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tblHeader/>
          <w:jc w:val="center"/>
        </w:trPr>
        <w:tc>
          <w:tcPr>
            <w:tcW w:w="78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1A58CA">
            <w:pPr>
              <w:spacing w:line="360" w:lineRule="auto"/>
              <w:rPr>
                <w:rFonts w:hint="eastAsia" w:ascii="宋体" w:hAnsi="宋体" w:cs="宋体"/>
                <w:kern w:val="0"/>
                <w:sz w:val="24"/>
                <w:szCs w:val="24"/>
              </w:rPr>
            </w:pPr>
            <w:r>
              <w:rPr>
                <w:rFonts w:hint="eastAsia" w:ascii="宋体" w:hAnsi="宋体" w:cs="宋体"/>
                <w:kern w:val="0"/>
                <w:sz w:val="24"/>
                <w:szCs w:val="24"/>
                <w:lang w:val="en-US" w:eastAsia="zh-CN"/>
              </w:rPr>
              <w:t>包号</w:t>
            </w:r>
          </w:p>
        </w:tc>
        <w:tc>
          <w:tcPr>
            <w:tcW w:w="100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CF9E14B">
            <w:pPr>
              <w:spacing w:line="360" w:lineRule="auto"/>
              <w:rPr>
                <w:rFonts w:hint="eastAsia" w:ascii="宋体" w:hAnsi="宋体" w:eastAsia="宋体" w:cs="宋体"/>
                <w:kern w:val="0"/>
                <w:sz w:val="24"/>
                <w:szCs w:val="24"/>
                <w:lang w:eastAsia="zh-CN"/>
              </w:rPr>
            </w:pPr>
            <w:r>
              <w:rPr>
                <w:rFonts w:hint="eastAsia" w:ascii="宋体" w:hAnsi="宋体" w:cs="宋体"/>
                <w:kern w:val="0"/>
                <w:sz w:val="24"/>
                <w:szCs w:val="24"/>
                <w:lang w:val="en-US" w:eastAsia="zh-CN"/>
              </w:rPr>
              <w:t>品目号</w:t>
            </w:r>
          </w:p>
        </w:tc>
        <w:tc>
          <w:tcPr>
            <w:tcW w:w="21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3903F7">
            <w:pPr>
              <w:spacing w:line="360" w:lineRule="auto"/>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服务名称</w:t>
            </w:r>
          </w:p>
        </w:tc>
        <w:tc>
          <w:tcPr>
            <w:tcW w:w="37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C5ECD9">
            <w:pPr>
              <w:spacing w:line="360" w:lineRule="auto"/>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服务期限</w:t>
            </w:r>
          </w:p>
        </w:tc>
      </w:tr>
      <w:tr w14:paraId="1499661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20" w:hRule="atLeast"/>
          <w:jc w:val="center"/>
        </w:trPr>
        <w:tc>
          <w:tcPr>
            <w:tcW w:w="78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6C71E4">
            <w:pPr>
              <w:spacing w:line="360" w:lineRule="auto"/>
              <w:ind w:firstLine="240" w:firstLineChars="100"/>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w:t>
            </w:r>
          </w:p>
        </w:tc>
        <w:tc>
          <w:tcPr>
            <w:tcW w:w="100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4A6008">
            <w:pPr>
              <w:spacing w:line="360" w:lineRule="auto"/>
              <w:rPr>
                <w:rFonts w:hint="eastAsia" w:ascii="宋体" w:hAnsi="宋体" w:cs="宋体"/>
                <w:kern w:val="0"/>
                <w:sz w:val="24"/>
                <w:szCs w:val="24"/>
              </w:rPr>
            </w:pPr>
            <w:r>
              <w:rPr>
                <w:rFonts w:hint="eastAsia" w:ascii="宋体" w:hAnsi="宋体" w:cs="宋体"/>
                <w:kern w:val="0"/>
                <w:sz w:val="24"/>
                <w:szCs w:val="24"/>
              </w:rPr>
              <w:t>1-1</w:t>
            </w:r>
          </w:p>
        </w:tc>
        <w:tc>
          <w:tcPr>
            <w:tcW w:w="21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562F00">
            <w:pPr>
              <w:spacing w:line="360" w:lineRule="auto"/>
              <w:rPr>
                <w:rFonts w:hint="eastAsia" w:ascii="宋体" w:hAnsi="宋体" w:eastAsia="宋体" w:cs="宋体"/>
                <w:kern w:val="0"/>
                <w:sz w:val="24"/>
                <w:szCs w:val="24"/>
                <w:lang w:eastAsia="zh-CN"/>
              </w:rPr>
            </w:pPr>
            <w:r>
              <w:rPr>
                <w:rFonts w:hint="eastAsia" w:ascii="宋体" w:hAnsi="宋体" w:cs="宋体"/>
                <w:kern w:val="0"/>
                <w:sz w:val="24"/>
                <w:szCs w:val="24"/>
                <w:lang w:eastAsia="zh-CN"/>
              </w:rPr>
              <w:t>环境保护专项规划</w:t>
            </w:r>
          </w:p>
        </w:tc>
        <w:tc>
          <w:tcPr>
            <w:tcW w:w="37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238B0A">
            <w:pPr>
              <w:spacing w:line="360" w:lineRule="auto"/>
              <w:rPr>
                <w:rFonts w:hint="eastAsia" w:ascii="宋体" w:hAnsi="宋体" w:cs="宋体"/>
                <w:kern w:val="0"/>
                <w:sz w:val="24"/>
                <w:szCs w:val="24"/>
              </w:rPr>
            </w:pPr>
            <w:r>
              <w:rPr>
                <w:rFonts w:hint="eastAsia" w:ascii="宋体" w:hAnsi="宋体" w:cs="宋体"/>
                <w:kern w:val="0"/>
                <w:sz w:val="24"/>
                <w:szCs w:val="24"/>
                <w:lang w:eastAsia="zh-CN"/>
              </w:rPr>
              <w:t>自签订合同之日起90个日历日</w:t>
            </w:r>
            <w:r>
              <w:rPr>
                <w:rFonts w:hint="eastAsia" w:ascii="宋体" w:hAnsi="宋体" w:cs="宋体"/>
                <w:kern w:val="0"/>
                <w:sz w:val="24"/>
                <w:szCs w:val="24"/>
              </w:rPr>
              <w:t>。</w:t>
            </w:r>
          </w:p>
        </w:tc>
      </w:tr>
    </w:tbl>
    <w:p w14:paraId="5C2A37A2">
      <w:pPr>
        <w:spacing w:line="360" w:lineRule="auto"/>
        <w:ind w:firstLine="241" w:firstLineChars="100"/>
        <w:rPr>
          <w:rFonts w:hint="eastAsia" w:ascii="宋体" w:hAnsi="宋体" w:eastAsia="宋体" w:cs="宋体"/>
          <w:b/>
          <w:sz w:val="24"/>
          <w:szCs w:val="24"/>
        </w:rPr>
      </w:pPr>
      <w:r>
        <w:rPr>
          <w:rFonts w:hint="eastAsia" w:ascii="宋体" w:hAnsi="宋体" w:eastAsia="宋体" w:cs="宋体"/>
          <w:b/>
          <w:sz w:val="24"/>
          <w:szCs w:val="24"/>
        </w:rPr>
        <w:t>二、服务要求：</w:t>
      </w:r>
    </w:p>
    <w:p w14:paraId="78B4B05C">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 xml:space="preserve">*2.1必须满足的服务要求： </w:t>
      </w:r>
    </w:p>
    <w:p w14:paraId="5E3CB0A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2.1.1按照要求完成以下内容：</w:t>
      </w:r>
      <w:r>
        <w:rPr>
          <w:rFonts w:hint="eastAsia" w:ascii="宋体" w:hAnsi="宋体" w:cs="宋体"/>
          <w:sz w:val="24"/>
          <w:szCs w:val="24"/>
        </w:rPr>
        <w:t>基于对规划区生态环境现状、污染源特征、环境承载能力及存在问题的系统评估，结合中省市政策要求与区域发展战略，科学确定规划期内生态环境保护的总体定位、基本原则与目标指标体系。围绕目标，系统谋划重点领域与主要任务，包括但不限于：推进产业绿色低碳循环发展；深入实施大气、水、土壤、固体废物、噪声等污染综合治理；加强生态系统保护与修复；强化环境风险防控与应急能力建设；提升生态环境治理体系与治理能力现代化水平。依据任务部署，谋划并凝练一批以污染治理、生态修复、能力建设为重点的工程项目，明确建设内容与投资估算。同时，注重规划协调性，将生态保护红线、环境质量底线、资源利用上线的硬约束落实到空间布局中，确保规划的科学性、前瞻性与可操作性。</w:t>
      </w:r>
    </w:p>
    <w:p w14:paraId="681B520E">
      <w:pPr>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2.1.2</w:t>
      </w:r>
      <w:r>
        <w:rPr>
          <w:rFonts w:hint="eastAsia" w:ascii="宋体" w:hAnsi="宋体" w:eastAsia="宋体" w:cs="宋体"/>
          <w:sz w:val="24"/>
          <w:szCs w:val="24"/>
          <w:highlight w:val="none"/>
        </w:rPr>
        <w:t>编制依据</w:t>
      </w:r>
    </w:p>
    <w:p w14:paraId="6DB68E6D">
      <w:pPr>
        <w:spacing w:line="360" w:lineRule="auto"/>
        <w:ind w:firstLine="240" w:firstLineChars="100"/>
        <w:rPr>
          <w:rFonts w:hint="eastAsia" w:ascii="宋体" w:hAnsi="宋体" w:cs="宋体"/>
          <w:sz w:val="24"/>
          <w:szCs w:val="24"/>
        </w:rPr>
      </w:pPr>
      <w:r>
        <w:rPr>
          <w:rFonts w:hint="eastAsia" w:ascii="宋体" w:hAnsi="宋体" w:cs="宋体"/>
          <w:sz w:val="24"/>
          <w:szCs w:val="24"/>
        </w:rPr>
        <w:t xml:space="preserve">（1）《中华人民共和国城乡规划法》（2019年修订） </w:t>
      </w:r>
    </w:p>
    <w:p w14:paraId="152D08DD">
      <w:pPr>
        <w:spacing w:line="360" w:lineRule="auto"/>
        <w:ind w:firstLine="240" w:firstLineChars="100"/>
        <w:rPr>
          <w:rFonts w:hint="eastAsia" w:ascii="宋体" w:hAnsi="宋体" w:cs="宋体"/>
          <w:sz w:val="24"/>
          <w:szCs w:val="24"/>
        </w:rPr>
      </w:pPr>
      <w:r>
        <w:rPr>
          <w:rFonts w:hint="eastAsia" w:ascii="宋体" w:hAnsi="宋体" w:cs="宋体"/>
          <w:sz w:val="24"/>
          <w:szCs w:val="24"/>
        </w:rPr>
        <w:t xml:space="preserve">（2）《中华人民共和国土地管理法》（2020年修订） </w:t>
      </w:r>
    </w:p>
    <w:p w14:paraId="2D9A1395">
      <w:pPr>
        <w:spacing w:line="360" w:lineRule="auto"/>
        <w:ind w:firstLine="240" w:firstLineChars="100"/>
        <w:rPr>
          <w:rFonts w:hint="eastAsia" w:ascii="宋体" w:hAnsi="宋体" w:cs="宋体"/>
          <w:sz w:val="24"/>
          <w:szCs w:val="24"/>
        </w:rPr>
      </w:pPr>
      <w:r>
        <w:rPr>
          <w:rFonts w:hint="eastAsia" w:ascii="宋体" w:hAnsi="宋体" w:cs="宋体"/>
          <w:sz w:val="24"/>
          <w:szCs w:val="24"/>
        </w:rPr>
        <w:t>（3）《中华人民共和国环境保护法》(2014年4月修正)</w:t>
      </w:r>
    </w:p>
    <w:p w14:paraId="47962041">
      <w:pPr>
        <w:spacing w:line="360" w:lineRule="auto"/>
        <w:ind w:firstLine="240" w:firstLineChars="100"/>
        <w:rPr>
          <w:rFonts w:hint="eastAsia" w:ascii="宋体" w:hAnsi="宋体" w:cs="宋体"/>
          <w:sz w:val="24"/>
          <w:szCs w:val="24"/>
        </w:rPr>
      </w:pPr>
      <w:r>
        <w:rPr>
          <w:rFonts w:hint="eastAsia" w:ascii="宋体" w:hAnsi="宋体" w:cs="宋体"/>
          <w:sz w:val="24"/>
          <w:szCs w:val="24"/>
        </w:rPr>
        <w:t>（4）《榆林市国土空间总体规划（2021-2035年）》</w:t>
      </w:r>
    </w:p>
    <w:p w14:paraId="61BA1251">
      <w:pPr>
        <w:spacing w:line="360" w:lineRule="auto"/>
        <w:ind w:firstLine="240" w:firstLineChars="100"/>
        <w:rPr>
          <w:rFonts w:hint="eastAsia" w:ascii="宋体" w:hAnsi="宋体" w:cs="宋体"/>
          <w:sz w:val="24"/>
          <w:szCs w:val="24"/>
        </w:rPr>
      </w:pPr>
      <w:r>
        <w:rPr>
          <w:rFonts w:hint="eastAsia" w:ascii="宋体" w:hAnsi="宋体" w:cs="宋体"/>
          <w:sz w:val="24"/>
          <w:szCs w:val="24"/>
        </w:rPr>
        <w:t>（5）《神木市国土空间总体规划（2021-2035年）》</w:t>
      </w:r>
    </w:p>
    <w:p w14:paraId="2BB94F11">
      <w:pPr>
        <w:spacing w:line="360" w:lineRule="auto"/>
        <w:ind w:firstLine="240" w:firstLineChars="100"/>
        <w:rPr>
          <w:rFonts w:hint="eastAsia" w:ascii="宋体" w:hAnsi="宋体" w:cs="宋体"/>
          <w:sz w:val="24"/>
          <w:szCs w:val="24"/>
        </w:rPr>
      </w:pPr>
      <w:r>
        <w:rPr>
          <w:rFonts w:hint="eastAsia" w:ascii="宋体" w:hAnsi="宋体" w:cs="宋体"/>
          <w:sz w:val="24"/>
          <w:szCs w:val="24"/>
        </w:rPr>
        <w:t>（6）《神木市锦界镇国土空间规划（2021-2035年）》</w:t>
      </w:r>
    </w:p>
    <w:p w14:paraId="647BBF65">
      <w:pPr>
        <w:spacing w:line="360" w:lineRule="auto"/>
        <w:ind w:firstLine="240" w:firstLineChars="100"/>
        <w:rPr>
          <w:rFonts w:hint="eastAsia" w:ascii="宋体" w:hAnsi="宋体" w:cs="宋体"/>
          <w:sz w:val="24"/>
          <w:szCs w:val="24"/>
        </w:rPr>
      </w:pPr>
      <w:r>
        <w:rPr>
          <w:rFonts w:hint="eastAsia" w:ascii="宋体" w:hAnsi="宋体" w:cs="宋体"/>
          <w:sz w:val="24"/>
          <w:szCs w:val="24"/>
        </w:rPr>
        <w:t>（7）《神木市锦界高新技术产业开发区总体规划（2018-2030）》</w:t>
      </w:r>
    </w:p>
    <w:p w14:paraId="338F9296">
      <w:pPr>
        <w:spacing w:line="360" w:lineRule="auto"/>
        <w:ind w:firstLine="240" w:firstLineChars="100"/>
        <w:rPr>
          <w:rFonts w:hint="eastAsia" w:ascii="宋体" w:hAnsi="宋体" w:cs="宋体"/>
          <w:sz w:val="24"/>
          <w:szCs w:val="24"/>
        </w:rPr>
      </w:pPr>
      <w:r>
        <w:rPr>
          <w:rFonts w:hint="eastAsia" w:ascii="宋体" w:hAnsi="宋体" w:cs="宋体"/>
          <w:sz w:val="24"/>
          <w:szCs w:val="24"/>
        </w:rPr>
        <w:t>（8）《神木锦界工业园区总体规划》（修编）（2025-2035年）</w:t>
      </w:r>
    </w:p>
    <w:p w14:paraId="4CAD191B">
      <w:pPr>
        <w:spacing w:line="360" w:lineRule="auto"/>
        <w:ind w:firstLine="240" w:firstLineChars="100"/>
        <w:rPr>
          <w:rFonts w:hint="eastAsia" w:ascii="宋体" w:hAnsi="宋体" w:cs="宋体"/>
          <w:sz w:val="24"/>
          <w:szCs w:val="24"/>
        </w:rPr>
      </w:pPr>
      <w:r>
        <w:rPr>
          <w:rFonts w:hint="eastAsia" w:ascii="宋体" w:hAnsi="宋体" w:cs="宋体"/>
          <w:sz w:val="24"/>
          <w:szCs w:val="24"/>
        </w:rPr>
        <w:t>（9）《陕西省城市规划技术管理规定(2018)》</w:t>
      </w:r>
    </w:p>
    <w:p w14:paraId="3803D966">
      <w:pPr>
        <w:spacing w:line="360" w:lineRule="auto"/>
        <w:ind w:firstLine="240" w:firstLineChars="100"/>
        <w:rPr>
          <w:rFonts w:hint="eastAsia" w:ascii="宋体" w:hAnsi="宋体" w:cs="宋体"/>
          <w:sz w:val="24"/>
          <w:szCs w:val="24"/>
        </w:rPr>
      </w:pPr>
      <w:r>
        <w:rPr>
          <w:rFonts w:hint="eastAsia" w:ascii="宋体" w:hAnsi="宋体" w:cs="宋体"/>
          <w:sz w:val="24"/>
          <w:szCs w:val="24"/>
        </w:rPr>
        <w:t xml:space="preserve">（10）《中华人民共和国大气污染防治法》（2018年修订） </w:t>
      </w:r>
    </w:p>
    <w:p w14:paraId="4D85A577">
      <w:pPr>
        <w:spacing w:line="360" w:lineRule="auto"/>
        <w:ind w:firstLine="240" w:firstLineChars="100"/>
        <w:rPr>
          <w:rFonts w:hint="eastAsia" w:ascii="宋体" w:hAnsi="宋体" w:cs="宋体"/>
          <w:sz w:val="24"/>
          <w:szCs w:val="24"/>
        </w:rPr>
      </w:pPr>
      <w:r>
        <w:rPr>
          <w:rFonts w:hint="eastAsia" w:ascii="宋体" w:hAnsi="宋体" w:cs="宋体"/>
          <w:sz w:val="24"/>
          <w:szCs w:val="24"/>
        </w:rPr>
        <w:t>（11）《中华人民共和国水污染防治法》（2017年修订）</w:t>
      </w:r>
    </w:p>
    <w:p w14:paraId="514E38B2">
      <w:pPr>
        <w:spacing w:line="360" w:lineRule="auto"/>
        <w:ind w:firstLine="240" w:firstLineChars="100"/>
        <w:rPr>
          <w:rFonts w:hint="eastAsia" w:ascii="宋体" w:hAnsi="宋体" w:cs="宋体"/>
          <w:sz w:val="24"/>
          <w:szCs w:val="24"/>
        </w:rPr>
      </w:pPr>
      <w:r>
        <w:rPr>
          <w:rFonts w:hint="eastAsia" w:ascii="宋体" w:hAnsi="宋体" w:cs="宋体"/>
          <w:sz w:val="24"/>
          <w:szCs w:val="24"/>
        </w:rPr>
        <w:t>（12）《中华人民共和国固体废物污染环境防治法》（2020年修订）</w:t>
      </w:r>
    </w:p>
    <w:p w14:paraId="5AA3FEFC">
      <w:pPr>
        <w:spacing w:line="360" w:lineRule="auto"/>
        <w:ind w:firstLine="240" w:firstLineChars="100"/>
        <w:rPr>
          <w:rFonts w:hint="eastAsia" w:ascii="宋体" w:hAnsi="宋体" w:cs="宋体"/>
          <w:sz w:val="24"/>
          <w:szCs w:val="24"/>
        </w:rPr>
      </w:pPr>
      <w:r>
        <w:rPr>
          <w:rFonts w:hint="eastAsia" w:ascii="宋体" w:hAnsi="宋体" w:cs="宋体"/>
          <w:sz w:val="24"/>
          <w:szCs w:val="24"/>
        </w:rPr>
        <w:t>（13）《中华人民共和国土壤污染防治法》（2019年施行）</w:t>
      </w:r>
    </w:p>
    <w:p w14:paraId="7CB6A687">
      <w:pPr>
        <w:spacing w:line="360" w:lineRule="auto"/>
        <w:ind w:firstLine="240" w:firstLineChars="100"/>
        <w:rPr>
          <w:rFonts w:hint="eastAsia" w:ascii="宋体" w:hAnsi="宋体" w:cs="宋体"/>
          <w:sz w:val="24"/>
          <w:szCs w:val="24"/>
        </w:rPr>
      </w:pPr>
      <w:r>
        <w:rPr>
          <w:rFonts w:hint="eastAsia" w:ascii="宋体" w:hAnsi="宋体" w:cs="宋体"/>
          <w:sz w:val="24"/>
          <w:szCs w:val="24"/>
        </w:rPr>
        <w:t>（14）《规划环境影响评价条例》（国务院令第559号）</w:t>
      </w:r>
    </w:p>
    <w:p w14:paraId="6BE72D05">
      <w:pPr>
        <w:spacing w:line="360" w:lineRule="auto"/>
        <w:ind w:firstLine="240" w:firstLineChars="100"/>
        <w:rPr>
          <w:rFonts w:hint="eastAsia" w:ascii="宋体" w:hAnsi="宋体" w:cs="宋体"/>
          <w:sz w:val="24"/>
          <w:szCs w:val="24"/>
        </w:rPr>
      </w:pPr>
      <w:r>
        <w:rPr>
          <w:rFonts w:hint="eastAsia" w:ascii="宋体" w:hAnsi="宋体" w:cs="宋体"/>
          <w:sz w:val="24"/>
          <w:szCs w:val="24"/>
        </w:rPr>
        <w:t>（15）《规划环境影响评价技术导则 总纲》（HJ 130-2019）</w:t>
      </w:r>
    </w:p>
    <w:p w14:paraId="04621A20">
      <w:pPr>
        <w:spacing w:line="360" w:lineRule="auto"/>
        <w:ind w:firstLine="240" w:firstLineChars="100"/>
        <w:rPr>
          <w:rFonts w:hint="eastAsia" w:ascii="宋体" w:hAnsi="宋体" w:cs="宋体"/>
          <w:sz w:val="24"/>
          <w:szCs w:val="24"/>
        </w:rPr>
      </w:pPr>
      <w:r>
        <w:rPr>
          <w:rFonts w:hint="eastAsia" w:ascii="宋体" w:hAnsi="宋体" w:cs="宋体"/>
          <w:sz w:val="24"/>
          <w:szCs w:val="24"/>
        </w:rPr>
        <w:t>（16）《环境空气质量标准》（GB 3095-2026）</w:t>
      </w:r>
    </w:p>
    <w:p w14:paraId="121E81DE">
      <w:pPr>
        <w:spacing w:line="360" w:lineRule="auto"/>
        <w:ind w:firstLine="240" w:firstLineChars="100"/>
        <w:rPr>
          <w:rFonts w:hint="eastAsia" w:ascii="宋体" w:hAnsi="宋体" w:cs="宋体"/>
          <w:sz w:val="24"/>
          <w:szCs w:val="24"/>
        </w:rPr>
      </w:pPr>
      <w:r>
        <w:rPr>
          <w:rFonts w:hint="eastAsia" w:ascii="宋体" w:hAnsi="宋体" w:cs="宋体"/>
          <w:sz w:val="24"/>
          <w:szCs w:val="24"/>
        </w:rPr>
        <w:t>（17）《地表水环境质量标准》（GB 3838-2002）</w:t>
      </w:r>
    </w:p>
    <w:p w14:paraId="03A7309B">
      <w:pPr>
        <w:spacing w:line="360" w:lineRule="auto"/>
        <w:ind w:firstLine="240" w:firstLineChars="100"/>
        <w:rPr>
          <w:rFonts w:hint="eastAsia" w:ascii="宋体" w:hAnsi="宋体" w:cs="宋体"/>
          <w:sz w:val="24"/>
          <w:szCs w:val="24"/>
        </w:rPr>
      </w:pPr>
      <w:r>
        <w:rPr>
          <w:rFonts w:hint="eastAsia" w:ascii="宋体" w:hAnsi="宋体" w:cs="宋体"/>
          <w:sz w:val="24"/>
          <w:szCs w:val="24"/>
        </w:rPr>
        <w:t>（18）国家、陕西省、榆林市、神木市相关生态环境保护规划与工作方案及其他与工业园区生态环境保护、污染防治、生态修复相关的法律、法规、政策等。</w:t>
      </w:r>
    </w:p>
    <w:p w14:paraId="4C106C85">
      <w:pPr>
        <w:spacing w:line="360" w:lineRule="auto"/>
        <w:ind w:firstLine="240" w:firstLineChars="1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rPr>
        <w:t>成果要求</w:t>
      </w:r>
      <w:r>
        <w:rPr>
          <w:rFonts w:hint="eastAsia" w:ascii="宋体" w:hAnsi="宋体" w:eastAsia="宋体" w:cs="宋体"/>
          <w:sz w:val="24"/>
          <w:szCs w:val="24"/>
          <w:highlight w:val="none"/>
          <w:lang w:eastAsia="zh-CN"/>
        </w:rPr>
        <w:t>：</w:t>
      </w:r>
      <w:r>
        <w:rPr>
          <w:rFonts w:hint="eastAsia" w:ascii="宋体" w:hAnsi="宋体" w:cs="宋体"/>
          <w:sz w:val="24"/>
          <w:szCs w:val="24"/>
        </w:rPr>
        <w:t>规划成果所有内容和设计深度应满足国家、省、市相关规范、规定。规划成果包括但不限于：规划文本、附表及其他材料。提交纸质成果 10套、电子版2套，具体提交成果规格以国家及地方出台的相关标准、指南为准。</w:t>
      </w:r>
    </w:p>
    <w:p w14:paraId="43B0D4BE">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楷体">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51B416"/>
    <w:multiLevelType w:val="singleLevel"/>
    <w:tmpl w:val="6951B416"/>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5B36E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2026-06-18T03:44:16Z</dcterms:created>
  <dc:creator>Administrator</dc:creator>
  <cp:lastModifiedBy>心静如水</cp:lastModifiedBy>
  <dcterms:modified xsi:type="dcterms:W3CDTF">2026-06-18T03:44:23Z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eyJoZGlkIjoiNzRmOGQ5MTVkMzc5MzJlNGZjYjRiY2QyZDk2ZTI1NDgiLCJ1c2VySWQiOiIyMzkzNjg4MzcifQ==</vt:lpwstr>
  </property>
  <property fmtid="{D5CDD505-2E9C-101B-9397-08002B2CF9AE}" pid="4" name="ICV">
    <vt:lpwstr>847AC50B704A410DA317DB7C8F2546C9_12</vt:lpwstr>
  </property>
</Properties>
</file>