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版本号：政采-大荔县-2026-0007820260513001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大荔县东高城戏楼保护修缮工程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政采-大荔县-2026-00078</w:t>
      </w:r>
      <w:r>
        <w:br/>
      </w:r>
      <w:r>
        <w:br/>
      </w:r>
      <w:r>
        <w:br/>
      </w:r>
    </w:p>
    <w:p>
      <w:pPr>
        <w:pStyle w:val="null3"/>
        <w:jc w:val="center"/>
        <w:outlineLvl w:val="2"/>
      </w:pPr>
      <w:r>
        <w:rPr>
          <w:rFonts w:ascii="仿宋_GB2312" w:hAnsi="仿宋_GB2312" w:cs="仿宋_GB2312" w:eastAsia="仿宋_GB2312"/>
          <w:sz w:val="28"/>
          <w:b/>
        </w:rPr>
        <w:t>大荔县文化和旅游局</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大荔县文化和旅游局</w:t>
      </w:r>
      <w:r>
        <w:rPr>
          <w:rFonts w:ascii="仿宋_GB2312" w:hAnsi="仿宋_GB2312" w:cs="仿宋_GB2312" w:eastAsia="仿宋_GB2312"/>
        </w:rPr>
        <w:t>委托，拟对</w:t>
      </w:r>
      <w:r>
        <w:rPr>
          <w:rFonts w:ascii="仿宋_GB2312" w:hAnsi="仿宋_GB2312" w:cs="仿宋_GB2312" w:eastAsia="仿宋_GB2312"/>
        </w:rPr>
        <w:t>大荔县东高城戏楼保护修缮工程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政采-大荔县-2026-00078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大荔县东高城戏楼保护修缮工程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包括修复墙体，恢复地面、木装修，提升改造建筑散水和排水沟等，通过本次修缮，解决屋面、梁架、墙体、地面及院落排水等现存问题。</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采购包1（大荔县东高城戏楼保护修缮）：属于专门面向中小企业采购。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1、法定代表人授权书/法定代表人身份证明书：法定代表人直接参与磋商需提供法定代表人身份证明书；被授权人参与磋商需提供法定代表人授权委托书；</w:t>
      </w:r>
    </w:p>
    <w:p>
      <w:pPr>
        <w:pStyle w:val="null3"/>
      </w:pPr>
      <w:r>
        <w:rPr>
          <w:rFonts w:ascii="仿宋_GB2312" w:hAnsi="仿宋_GB2312" w:cs="仿宋_GB2312" w:eastAsia="仿宋_GB2312"/>
        </w:rPr>
        <w:t>2、供应商资质：供应商须具备文物局核发的文物保护工程施工二级及以上资质，并具有合格有效的安全生产许可证；项目经理须具备文物保护工程责任工程师资格证书，在本单位注册且无在建工程（提供无在建承诺书）</w:t>
      </w:r>
    </w:p>
    <w:p>
      <w:pPr>
        <w:pStyle w:val="null3"/>
      </w:pPr>
      <w:r>
        <w:rPr>
          <w:rFonts w:ascii="仿宋_GB2312" w:hAnsi="仿宋_GB2312" w:cs="仿宋_GB2312" w:eastAsia="仿宋_GB2312"/>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4、无控股、管理承诺：单位负责人为同一人或者存在直接控股、管理关系的不同供应商，不得参加同一合同项下的政府采购活动。（格式自拟）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屈小峰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0913-3256808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马玺杰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19991640961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采购包1：796,200.00元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大荔县文化和旅游局</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一、本工程应按工程量清单及磋商文件全部内容完成；本工程验收标准应符合国家相关工程管理规定及行业标准；依据磋商文件及成交人响应文件及签证单等文件内容进行验收。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联系人：马玺杰</w:t>
      </w:r>
    </w:p>
    <w:p>
      <w:pPr>
        <w:pStyle w:val="null3"/>
      </w:pPr>
      <w:r>
        <w:rPr>
          <w:rFonts w:ascii="仿宋_GB2312" w:hAnsi="仿宋_GB2312" w:cs="仿宋_GB2312" w:eastAsia="仿宋_GB2312"/>
        </w:rPr>
        <w:t>联系电话：19991640961</w:t>
      </w:r>
    </w:p>
    <w:p>
      <w:pPr>
        <w:pStyle w:val="null3"/>
      </w:pPr>
      <w:r>
        <w:rPr>
          <w:rFonts w:ascii="仿宋_GB2312" w:hAnsi="仿宋_GB2312" w:cs="仿宋_GB2312" w:eastAsia="仿宋_GB2312"/>
        </w:rPr>
        <w:t>地址：陕西省西安市未央区西安经济技术开发区凤城七路长和国际D座26层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796,200.00</w:t>
      </w:r>
    </w:p>
    <w:p>
      <w:pPr>
        <w:pStyle w:val="null3"/>
      </w:pPr>
      <w:r>
        <w:rPr>
          <w:rFonts w:ascii="仿宋_GB2312" w:hAnsi="仿宋_GB2312" w:cs="仿宋_GB2312" w:eastAsia="仿宋_GB2312"/>
        </w:rPr>
        <w:t>采购包最高限价（元）: 796,200.00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大荔县东高城戏楼保护修缮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796,200.00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标的名称：大荔县东高城戏楼保护修缮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具体详见工程量清单所含全部内容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执行国家相关标准、行业标准、或者其他标准、规范等。</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合同签订后60日历天内完成；工程地点：大荔县；质量标准：合格；质保期：自竣工验收合格之日起一年；付款方式：乙方完成施工准备工作取得开工令后，付至合同金额的50%，施工完成后付至合同金额的90%，验收合格后付至合同金额的100%。</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在成交结果公告发布后3个工作日内提供叁套纸质投标文件（经编标工具生成的文件直接打印并加盖公章），递交的纸质版文件内容确保与线上电子文件保持一致，不允许修改和补充；提交最终版《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合法有效，具有独立承担民事责任能力的企业法人、其他组织或者自然人；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2024或2025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税收缴纳证明：提供投标文件递交截止时间前一年内任意一个月的缴费凭据；依法免税的应提供相关文件证明；社会保障资金缴纳证明：提供投标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法定代表人直接参与磋商需提供法定代表人身份证明书；被授权人参与磋商需提供法定代表人授权委托书；</w:t>
            </w:r>
          </w:p>
        </w:tc>
        <w:tc>
          <w:tcPr>
            <w:tcW w:type="dxa" w:w="1661"/>
          </w:tcPr>
          <w:p>
            <w:pPr>
              <w:pStyle w:val="null3"/>
            </w:pPr>
            <w:r>
              <w:rPr>
                <w:rFonts w:ascii="仿宋_GB2312" w:hAnsi="仿宋_GB2312" w:cs="仿宋_GB2312" w:eastAsia="仿宋_GB2312"/>
              </w:rPr>
              <w:t>法定代表人证明书或法定代表人授权书.docx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供应商须具备文物局核发的文物保护工程施工二级及以上资质，并具有合格有效的安全生产许可证；项目经理须具备文物保护工程责任工程师资格证书，在本单位注册且无在建工程（提供无在建承诺书）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单位负责人为同一人或者存在直接控股、管理关系的不同供应商，不得参加同一合同项下的政府采购活动。（格式自拟）</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供应商名称与营业执照、资质证书等一致</w:t>
            </w:r>
          </w:p>
        </w:tc>
        <w:tc>
          <w:tcPr>
            <w:tcW w:type="dxa" w:w="1661"/>
          </w:tcPr>
          <w:p>
            <w:pPr>
              <w:pStyle w:val="null3"/>
            </w:pPr>
            <w:r>
              <w:rPr>
                <w:rFonts w:ascii="仿宋_GB2312" w:hAnsi="仿宋_GB2312" w:cs="仿宋_GB2312" w:eastAsia="仿宋_GB2312"/>
              </w:rPr>
              <w:t>法定代表人证明书或法定代表人授权书.docx 已标价工程量清单 中小企业声明函 技术服务合同条款及其他商务要求应答表 供应商应提交的相关资格证明材料 项目实施方案.docx 响应文件封面 政府采购供应商拒绝政府采购领域商业贿赂承诺书.docx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响应文件封面 报价函 技术服务合同条款及其他商务要求应答表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响应文件按竞争性磋商文件要求进行签章</w:t>
            </w:r>
          </w:p>
        </w:tc>
        <w:tc>
          <w:tcPr>
            <w:tcW w:type="dxa" w:w="1661"/>
          </w:tcPr>
          <w:p>
            <w:pPr>
              <w:pStyle w:val="null3"/>
            </w:pPr>
            <w:r>
              <w:rPr>
                <w:rFonts w:ascii="仿宋_GB2312" w:hAnsi="仿宋_GB2312" w:cs="仿宋_GB2312" w:eastAsia="仿宋_GB2312"/>
              </w:rPr>
              <w:t>法定代表人证明书或法定代表人授权书.docx 已标价工程量清单 中小企业声明函 技术服务合同条款及其他商务要求应答表 供应商应提交的相关资格证明材料 项目实施方案.docx 响应文件封面 政府采购供应商拒绝政府采购领域商业贿赂承诺书.docx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竞争性磋商文件规定的其他情形</w:t>
            </w:r>
          </w:p>
        </w:tc>
        <w:tc>
          <w:tcPr>
            <w:tcW w:type="dxa" w:w="1661"/>
          </w:tcPr>
          <w:p>
            <w:pPr>
              <w:pStyle w:val="null3"/>
            </w:pPr>
            <w:r>
              <w:rPr>
                <w:rFonts w:ascii="仿宋_GB2312" w:hAnsi="仿宋_GB2312" w:cs="仿宋_GB2312" w:eastAsia="仿宋_GB2312"/>
              </w:rPr>
              <w:t>法定代表人证明书或法定代表人授权书.docx 已标价工程量清单 中小企业声明函 技术服务合同条款及其他商务要求应答表 供应商应提交的相关资格证明材料 项目实施方案.docx 响应文件封面 政府采购供应商拒绝政府采购领域商业贿赂承诺书.docx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根据供应商提供的施工方案进行评审，评审内容包含但不限于：（1）施工准备 （2）施工方法（3）相关技术措施。以上内容无缺项，专门针对本项目编制，符合本项目实际情况，内容全面详细， 且条理清晰、准确、措施合理化能够保障项目顺利实施的得12分。每小项缺项或者内容非针对于本项目的扣4分，每小项有一处缺陷的扣1分，扣完为止。（缺陷是指：施工方案内容不完整、条理不清晰、缺少关键点、方案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根据供应商提供的项目管理机构进行评审，评审内容包含但不限于：（1）项目团队成员清单及架构（2）项目组配备人员的专业素质及岗位分工及责任制度。 以上内容无缺项，专门针对本项目编制，符合本项目实际情况，内容全面详细 ，且人员分配具体、准确、能够合理化能够保障项目顺利实施的得8 分。每小项缺项或者内容非针对于本项目的扣4分，每小项有一处缺陷的扣1分，扣完为止。（缺陷是指：项目管理机构不完整、条理不清晰、缺少关键管理人员、人员分配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施工质量及施工进度保证措施</w:t>
            </w:r>
          </w:p>
        </w:tc>
        <w:tc>
          <w:tcPr>
            <w:tcW w:type="dxa" w:w="2492"/>
          </w:tcPr>
          <w:p>
            <w:pPr>
              <w:pStyle w:val="null3"/>
            </w:pPr>
            <w:r>
              <w:rPr>
                <w:rFonts w:ascii="仿宋_GB2312" w:hAnsi="仿宋_GB2312" w:cs="仿宋_GB2312" w:eastAsia="仿宋_GB2312"/>
              </w:rPr>
              <w:t>根据供应商提供的施工质量及施工进度保证措施进行评审，评审内容包括但不限于：（1）质量目标管理体系及质量的检验制度（2）施工质量进度及技术保证措施。以上内容无缺项，专门针对本项目编制，符合本项目实际情况，内容描述全面详细，且条理清晰、准确、措施合理化能够保障项目顺利实施的得8分。每小项缺项或者内容非针对于本项目的扣4分，每小项有一处缺陷的扣1分，扣完为止。（缺陷是指：施工质量及进度保证措施内容不完整、条理不清晰、缺少关键点、措施描述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安全、文明施工措施及环境保护措施</w:t>
            </w:r>
          </w:p>
        </w:tc>
        <w:tc>
          <w:tcPr>
            <w:tcW w:type="dxa" w:w="2492"/>
          </w:tcPr>
          <w:p>
            <w:pPr>
              <w:pStyle w:val="null3"/>
            </w:pPr>
            <w:r>
              <w:rPr>
                <w:rFonts w:ascii="仿宋_GB2312" w:hAnsi="仿宋_GB2312" w:cs="仿宋_GB2312" w:eastAsia="仿宋_GB2312"/>
              </w:rPr>
              <w:t>根据供应商提供的安全、文明施工措施及环境保证措施进行评审，评审内容包括但不限于：（1）安全文明施工目标、安全生产管理体系、安全标识及施工现场的临时管理措施、文明施工保证措施（2）环境保护管理体系及环保控制措施。以上内容无缺项，专门针对本项目编制，符合本项目实际情况，内容全面详细，且条理清晰、准确、措施合理化能够保障项目顺利实施的得8分。每小项缺项或者内容非针对于本项目的扣4分，每小项有一处缺陷的扣1分，扣完为止。（缺陷是指：安全、文明施工措施及环境保护措施描述内容描述不完整、条理不清晰、未对安全做出具体明确的解决措施等、缺少关键点、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劳动力安排及施工机械配备投入计划</w:t>
            </w:r>
          </w:p>
        </w:tc>
        <w:tc>
          <w:tcPr>
            <w:tcW w:type="dxa" w:w="2492"/>
          </w:tcPr>
          <w:p>
            <w:pPr>
              <w:pStyle w:val="null3"/>
            </w:pPr>
            <w:r>
              <w:rPr>
                <w:rFonts w:ascii="仿宋_GB2312" w:hAnsi="仿宋_GB2312" w:cs="仿宋_GB2312" w:eastAsia="仿宋_GB2312"/>
              </w:rPr>
              <w:t>根据供应商提供的劳动力安排及施工机械配备投入计划进行评审，评审内容包含但不限于：（1）劳动力投入计划、及劳务分包情况及劳动力保证措施 （2）投入的机械设备投入计划。以上内容无缺项，专门针对本项目编制，符合本项目实际情况，内容全面详细，且条理清晰、准确、措施合理化能够保障项目顺利实施的得8分。每小项缺项或者内容非针对于本项目的扣4分，每小项有一处缺陷的扣1分，扣完为止。（缺陷是指：劳动力投入计划条理不清晰、劳动力保证措施安排不到位、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施工现场扬尘污染防治措施</w:t>
            </w:r>
          </w:p>
        </w:tc>
        <w:tc>
          <w:tcPr>
            <w:tcW w:type="dxa" w:w="2492"/>
          </w:tcPr>
          <w:p>
            <w:pPr>
              <w:pStyle w:val="null3"/>
            </w:pPr>
            <w:r>
              <w:rPr>
                <w:rFonts w:ascii="仿宋_GB2312" w:hAnsi="仿宋_GB2312" w:cs="仿宋_GB2312" w:eastAsia="仿宋_GB2312"/>
              </w:rPr>
              <w:t>根据供应商提供的施工现场扬尘污染防治措施进行评审，评审内容包含但不限于：（1）污染物、杂物及废弃物处理的排放（2）噪音控制、防尘及扬尘的准备工作及防治措施。以上内容无缺项，专门针对本项目编制，符合本项目实际情况，内容全面详细，且条理清晰、准确、措施合理化能够保障项目顺利实施的得8分。每小项缺项或者内容非针对于本项目的扣4分，每小项有一处缺陷的扣1分，扣完为止。（缺陷是指：施工现场扬尘污染防治措施内容不完整 、条理不清晰、缺少关键点、方案不具体、针对性不强、内容无紧扣项目实际情况、表述前后不一致、现有技术条件下不可能出现的及其他不利于项目实施的情形等任意一种情形）。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采用新技术、新工艺 对提高工程质量、缩短工期、降低造价的可行性</w:t>
            </w:r>
          </w:p>
        </w:tc>
        <w:tc>
          <w:tcPr>
            <w:tcW w:type="dxa" w:w="2492"/>
          </w:tcPr>
          <w:p>
            <w:pPr>
              <w:pStyle w:val="null3"/>
            </w:pPr>
            <w:r>
              <w:rPr>
                <w:rFonts w:ascii="仿宋_GB2312" w:hAnsi="仿宋_GB2312" w:cs="仿宋_GB2312" w:eastAsia="仿宋_GB2312"/>
              </w:rPr>
              <w:t>根据供应商提供的技术、新工艺对提高工程质量、缩短工期、降低造价的可行性进行评审，评审内容包含但不限于：（1）新技术、新工艺对提高工程质量的可行性（2）新技术、新工艺对提高工程质量的可行性对降低造价的可行性。以上内容无缺项，专门针对本项目编制，符合本项目实际情况，内容全面详细，且条理清晰、准确、措施合理化能够保障项目顺利实施的得8分。每小项缺项或者内容非针对于本项目的扣4分，每小项有一处缺陷的扣1分，扣完为止。（缺陷是指：针对新技术、新工艺描述不完整、条理不清晰、方案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后续质保服务</w:t>
            </w:r>
          </w:p>
        </w:tc>
        <w:tc>
          <w:tcPr>
            <w:tcW w:type="dxa" w:w="2492"/>
          </w:tcPr>
          <w:p>
            <w:pPr>
              <w:pStyle w:val="null3"/>
            </w:pPr>
            <w:r>
              <w:rPr>
                <w:rFonts w:ascii="仿宋_GB2312" w:hAnsi="仿宋_GB2312" w:cs="仿宋_GB2312" w:eastAsia="仿宋_GB2312"/>
              </w:rPr>
              <w:t>根据供应商提供的后续服务承诺进行评审，评审内容包含但不限于：（1）针对本项目实际需求提供实质性服务承诺及保障措施（2）针对本项目的施工验收后期的质保承诺。以上内容无缺项，专门针对本项目编制，符合本项目实际情况，内容全面详细，且条理清晰、准确、措施合理化能够保障项目顺利实施的得8分。每小项缺项或者内容非针对于本项目的扣4分，每小项有一处缺陷的扣1分，扣完为止。（缺陷是指：后续服务方案内容不完整、条理不清晰、 缺少关键点、方案不具体、针对性不强、内容无紧扣项目实际情况、表述前后不一致、现有技术条件下不可能出现的及其他不利于项目实施的情形等任意一种情形）。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投标人具有近三年（2023年5月至今）的类似项目业绩，每提供一个业绩得1分，本项最高得2分。（合同复印件加盖投标人公章，以合同时间签订为准）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各供应商的在多次报价中应逐次降价，二次报价超过首次报价的，为无效报价，取消其磋商资格。3.满足磋商文件实质性要求且最终报价最低的供应商的价格为磋商基准价，其价格分为满分30分。4.磋商报价得分=（磋商基准价/最终磋商报价）×价格权值×100%。 5.磋商报价不完整的，不进入磋商基准价的计算，本项得0分。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详见附件：法定代表人证明书或法定代表人授权书.docx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