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C5D2D">
      <w:pPr>
        <w:outlineLvl w:val="9"/>
        <w:rPr>
          <w:rFonts w:hAnsi="宋体" w:cs="宋体"/>
          <w:b/>
          <w:sz w:val="32"/>
          <w:szCs w:val="32"/>
          <w:highlight w:val="none"/>
        </w:rPr>
      </w:pPr>
      <w:bookmarkStart w:id="0" w:name="_Toc5216"/>
      <w:bookmarkStart w:id="1" w:name="_Toc1362"/>
      <w:bookmarkStart w:id="2" w:name="_Toc18120"/>
      <w:bookmarkStart w:id="3" w:name="_Toc7874"/>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7A06D0EC">
      <w:pPr>
        <w:rPr>
          <w:rFonts w:hAnsi="宋体" w:cs="宋体"/>
          <w:b/>
          <w:sz w:val="32"/>
          <w:szCs w:val="32"/>
          <w:highlight w:val="none"/>
        </w:rPr>
      </w:pPr>
      <w:r>
        <w:rPr>
          <w:rFonts w:hint="eastAsia" w:hAnsi="宋体" w:cs="宋体"/>
          <w:b/>
          <w:sz w:val="32"/>
          <w:szCs w:val="32"/>
          <w:highlight w:val="none"/>
        </w:rPr>
        <w:t xml:space="preserve">          </w:t>
      </w:r>
    </w:p>
    <w:p w14:paraId="0FA2B760">
      <w:pPr>
        <w:jc w:val="center"/>
        <w:rPr>
          <w:rFonts w:hAnsi="宋体" w:cs="宋体"/>
          <w:sz w:val="52"/>
          <w:szCs w:val="52"/>
          <w:highlight w:val="none"/>
        </w:rPr>
      </w:pPr>
    </w:p>
    <w:p w14:paraId="15F01C29">
      <w:pPr>
        <w:jc w:val="center"/>
        <w:rPr>
          <w:rFonts w:hAnsi="宋体" w:cs="宋体"/>
          <w:sz w:val="52"/>
          <w:szCs w:val="52"/>
          <w:highlight w:val="none"/>
        </w:rPr>
      </w:pPr>
    </w:p>
    <w:p w14:paraId="3F5AB476">
      <w:pPr>
        <w:jc w:val="center"/>
        <w:rPr>
          <w:rFonts w:hAnsi="宋体" w:cs="宋体"/>
          <w:sz w:val="52"/>
          <w:szCs w:val="52"/>
          <w:highlight w:val="none"/>
        </w:rPr>
      </w:pPr>
    </w:p>
    <w:p w14:paraId="2814300A">
      <w:pPr>
        <w:jc w:val="center"/>
        <w:rPr>
          <w:rFonts w:hAnsi="宋体" w:cs="宋体"/>
          <w:sz w:val="52"/>
          <w:szCs w:val="52"/>
          <w:highlight w:val="none"/>
        </w:rPr>
      </w:pPr>
    </w:p>
    <w:p w14:paraId="037FE9DC">
      <w:pPr>
        <w:jc w:val="center"/>
        <w:rPr>
          <w:rFonts w:hAnsi="宋体" w:cs="宋体"/>
          <w:sz w:val="52"/>
          <w:szCs w:val="52"/>
          <w:highlight w:val="none"/>
        </w:rPr>
      </w:pPr>
    </w:p>
    <w:p w14:paraId="3B6258B2">
      <w:pPr>
        <w:jc w:val="center"/>
        <w:rPr>
          <w:rFonts w:hAnsi="宋体" w:cs="宋体"/>
          <w:sz w:val="52"/>
          <w:szCs w:val="52"/>
          <w:highlight w:val="none"/>
        </w:rPr>
      </w:pPr>
    </w:p>
    <w:p w14:paraId="7B3B5FE6">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7AAA8D01">
      <w:pPr>
        <w:jc w:val="center"/>
        <w:rPr>
          <w:rFonts w:hAnsi="宋体" w:cs="宋体"/>
          <w:b/>
          <w:sz w:val="72"/>
          <w:szCs w:val="72"/>
          <w:highlight w:val="none"/>
        </w:rPr>
      </w:pPr>
      <w:r>
        <w:rPr>
          <w:rFonts w:hint="eastAsia" w:hAnsi="宋体" w:cs="宋体"/>
          <w:b/>
          <w:sz w:val="72"/>
          <w:szCs w:val="72"/>
          <w:highlight w:val="none"/>
        </w:rPr>
        <w:t>服 务 合 同</w:t>
      </w:r>
    </w:p>
    <w:p w14:paraId="311AEEB4">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21E0EA66">
      <w:pPr>
        <w:jc w:val="center"/>
        <w:rPr>
          <w:rFonts w:hAnsi="宋体" w:cs="宋体"/>
          <w:sz w:val="30"/>
          <w:szCs w:val="30"/>
          <w:highlight w:val="none"/>
        </w:rPr>
      </w:pPr>
    </w:p>
    <w:p w14:paraId="384D5DDA">
      <w:pPr>
        <w:jc w:val="center"/>
        <w:rPr>
          <w:rFonts w:hAnsi="宋体" w:cs="宋体"/>
          <w:sz w:val="30"/>
          <w:szCs w:val="30"/>
          <w:highlight w:val="none"/>
        </w:rPr>
      </w:pPr>
    </w:p>
    <w:p w14:paraId="11DEC8FC">
      <w:pPr>
        <w:jc w:val="center"/>
        <w:rPr>
          <w:rFonts w:hAnsi="宋体" w:cs="宋体"/>
          <w:sz w:val="30"/>
          <w:szCs w:val="30"/>
          <w:highlight w:val="none"/>
        </w:rPr>
      </w:pPr>
    </w:p>
    <w:p w14:paraId="142785B4">
      <w:pPr>
        <w:jc w:val="center"/>
        <w:rPr>
          <w:rFonts w:hAnsi="宋体" w:cs="宋体"/>
          <w:sz w:val="30"/>
          <w:szCs w:val="30"/>
          <w:highlight w:val="none"/>
        </w:rPr>
      </w:pPr>
    </w:p>
    <w:p w14:paraId="66CCB025">
      <w:pPr>
        <w:jc w:val="center"/>
        <w:rPr>
          <w:rFonts w:hAnsi="宋体" w:cs="宋体"/>
          <w:sz w:val="30"/>
          <w:szCs w:val="30"/>
          <w:highlight w:val="none"/>
        </w:rPr>
      </w:pPr>
    </w:p>
    <w:p w14:paraId="0EEEAA84">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09C07068">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BE5D45E">
      <w:pPr>
        <w:jc w:val="center"/>
        <w:rPr>
          <w:rFonts w:hAnsi="宋体" w:cs="宋体"/>
          <w:sz w:val="30"/>
          <w:szCs w:val="30"/>
          <w:highlight w:val="none"/>
        </w:rPr>
      </w:pPr>
    </w:p>
    <w:p w14:paraId="21D83B98">
      <w:pPr>
        <w:jc w:val="center"/>
        <w:rPr>
          <w:rFonts w:hAnsi="宋体" w:cs="宋体"/>
          <w:sz w:val="30"/>
          <w:szCs w:val="30"/>
          <w:highlight w:val="none"/>
        </w:rPr>
      </w:pPr>
    </w:p>
    <w:p w14:paraId="712A6F9B">
      <w:pPr>
        <w:jc w:val="center"/>
        <w:rPr>
          <w:rFonts w:hAnsi="宋体" w:cs="宋体"/>
          <w:sz w:val="30"/>
          <w:szCs w:val="30"/>
          <w:highlight w:val="none"/>
        </w:rPr>
      </w:pPr>
    </w:p>
    <w:p w14:paraId="5863A209">
      <w:pPr>
        <w:jc w:val="center"/>
        <w:rPr>
          <w:rFonts w:hAnsi="宋体" w:cs="宋体"/>
          <w:sz w:val="32"/>
          <w:szCs w:val="32"/>
          <w:highlight w:val="none"/>
        </w:rPr>
      </w:pPr>
      <w:r>
        <w:rPr>
          <w:rFonts w:hint="eastAsia" w:hAnsi="宋体" w:cs="宋体"/>
          <w:sz w:val="32"/>
          <w:szCs w:val="32"/>
          <w:highlight w:val="none"/>
        </w:rPr>
        <w:t xml:space="preserve">  年  月</w:t>
      </w:r>
    </w:p>
    <w:p w14:paraId="24BC381A">
      <w:pPr>
        <w:jc w:val="center"/>
        <w:rPr>
          <w:rFonts w:hAnsi="宋体" w:cs="宋体"/>
          <w:sz w:val="32"/>
          <w:szCs w:val="32"/>
          <w:highlight w:val="none"/>
        </w:rPr>
      </w:pPr>
    </w:p>
    <w:p w14:paraId="7C5ADE91">
      <w:pPr>
        <w:spacing w:line="590" w:lineRule="exact"/>
        <w:rPr>
          <w:rFonts w:hAnsi="宋体" w:cs="宋体"/>
          <w:b/>
          <w:sz w:val="36"/>
          <w:szCs w:val="36"/>
          <w:highlight w:val="none"/>
        </w:rPr>
      </w:pPr>
    </w:p>
    <w:p w14:paraId="27FD74A5">
      <w:pPr>
        <w:jc w:val="center"/>
        <w:outlineLvl w:val="9"/>
        <w:rPr>
          <w:rFonts w:ascii="黑体"/>
          <w:b/>
          <w:sz w:val="36"/>
          <w:szCs w:val="36"/>
          <w:highlight w:val="none"/>
        </w:rPr>
      </w:pPr>
      <w:r>
        <w:rPr>
          <w:rFonts w:hint="eastAsia" w:hAnsi="宋体" w:cs="宋体"/>
          <w:b/>
          <w:szCs w:val="21"/>
          <w:highlight w:val="none"/>
        </w:rPr>
        <w:br w:type="page"/>
      </w:r>
      <w:bookmarkStart w:id="4" w:name="_Toc28398"/>
      <w:bookmarkStart w:id="5" w:name="_Toc7965"/>
      <w:r>
        <w:rPr>
          <w:rFonts w:hint="eastAsia" w:ascii="黑体" w:eastAsia="黑体"/>
          <w:b/>
          <w:sz w:val="36"/>
          <w:szCs w:val="36"/>
          <w:highlight w:val="none"/>
        </w:rPr>
        <w:t>协 议 书</w:t>
      </w:r>
      <w:bookmarkEnd w:id="4"/>
      <w:bookmarkEnd w:id="5"/>
    </w:p>
    <w:p w14:paraId="397BDCD8">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64A9DCA2">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264E39CE">
      <w:pPr>
        <w:spacing w:line="360" w:lineRule="auto"/>
        <w:ind w:firstLine="480" w:firstLineChars="200"/>
        <w:rPr>
          <w:rFonts w:hAnsi="宋体" w:cs="宋体"/>
          <w:szCs w:val="21"/>
          <w:highlight w:val="none"/>
        </w:rPr>
      </w:pPr>
      <w:r>
        <w:rPr>
          <w:rFonts w:hint="eastAsia" w:hAnsi="宋体" w:cs="宋体"/>
          <w:szCs w:val="21"/>
          <w:highlight w:val="none"/>
        </w:rPr>
        <w:t>根据《中华人民共和国中华人民共和国民法典》、《中华人民共和国政府采购法》与项目行业有关的法律法规，以及本项目（</w:t>
      </w:r>
      <w:r>
        <w:rPr>
          <w:rFonts w:hint="eastAsia" w:hAnsi="宋体" w:cs="宋体"/>
          <w:szCs w:val="21"/>
          <w:highlight w:val="none"/>
          <w:lang w:eastAsia="zh-CN"/>
        </w:rPr>
        <w:t>2026年回民殡仪馆劳务外包服务采购</w:t>
      </w:r>
      <w:r>
        <w:rPr>
          <w:rFonts w:hint="eastAsia" w:hAnsi="宋体" w:cs="宋体"/>
          <w:szCs w:val="21"/>
          <w:highlight w:val="none"/>
        </w:rPr>
        <w:t>）相关采购要求的规定，合同双方就乙方向采购方提供</w:t>
      </w:r>
      <w:r>
        <w:rPr>
          <w:rFonts w:hint="eastAsia" w:hAnsi="宋体" w:cs="宋体"/>
          <w:szCs w:val="21"/>
          <w:highlight w:val="none"/>
          <w:lang w:eastAsia="zh-CN"/>
        </w:rPr>
        <w:t>2026年回民殡仪馆劳务外包服务采购</w:t>
      </w:r>
      <w:r>
        <w:rPr>
          <w:rFonts w:hint="eastAsia" w:hAnsi="宋体" w:cs="宋体"/>
          <w:szCs w:val="21"/>
          <w:highlight w:val="none"/>
        </w:rPr>
        <w:t>协商达成一致，确立本合同。</w:t>
      </w:r>
    </w:p>
    <w:p w14:paraId="2A9E3E10">
      <w:pPr>
        <w:tabs>
          <w:tab w:val="left" w:pos="480"/>
        </w:tabs>
        <w:spacing w:line="360" w:lineRule="auto"/>
        <w:outlineLvl w:val="9"/>
        <w:rPr>
          <w:rFonts w:hAnsi="宋体" w:cs="宋体"/>
          <w:b/>
          <w:szCs w:val="21"/>
          <w:highlight w:val="none"/>
        </w:rPr>
      </w:pPr>
      <w:bookmarkStart w:id="6" w:name="_Toc30883"/>
      <w:bookmarkStart w:id="7" w:name="_Toc8841"/>
      <w:bookmarkStart w:id="8" w:name="_Toc7407"/>
      <w:r>
        <w:rPr>
          <w:rFonts w:hint="eastAsia" w:hAnsi="宋体" w:cs="宋体"/>
          <w:b/>
          <w:szCs w:val="21"/>
          <w:highlight w:val="none"/>
        </w:rPr>
        <w:t>一、合同标的物内容、数量及单价</w:t>
      </w:r>
      <w:r>
        <w:rPr>
          <w:rFonts w:hint="eastAsia" w:hAnsi="宋体" w:cs="宋体"/>
          <w:szCs w:val="21"/>
          <w:highlight w:val="none"/>
        </w:rPr>
        <w:t>（以竞争性磋商响应文件正本和澄清表〈函〉为准）</w:t>
      </w:r>
      <w:bookmarkEnd w:id="6"/>
      <w:bookmarkEnd w:id="7"/>
      <w:bookmarkEnd w:id="8"/>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3734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647016C">
            <w:pPr>
              <w:tabs>
                <w:tab w:val="left" w:pos="480"/>
              </w:tabs>
              <w:spacing w:line="396" w:lineRule="exact"/>
              <w:jc w:val="center"/>
              <w:rPr>
                <w:rFonts w:hAnsi="宋体" w:cs="宋体"/>
                <w:szCs w:val="21"/>
                <w:highlight w:val="none"/>
              </w:rPr>
            </w:pPr>
            <w:r>
              <w:rPr>
                <w:rFonts w:hint="eastAsia" w:hAnsi="宋体" w:cs="宋体"/>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01653867">
            <w:pPr>
              <w:tabs>
                <w:tab w:val="left" w:pos="480"/>
              </w:tabs>
              <w:spacing w:line="396" w:lineRule="exact"/>
              <w:jc w:val="center"/>
              <w:rPr>
                <w:rFonts w:hAnsi="宋体" w:cs="宋体"/>
                <w:szCs w:val="21"/>
                <w:highlight w:val="none"/>
              </w:rPr>
            </w:pPr>
            <w:r>
              <w:rPr>
                <w:rFonts w:hint="eastAsia" w:hAnsi="宋体" w:cs="宋体"/>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03B8500B">
            <w:pPr>
              <w:tabs>
                <w:tab w:val="left" w:pos="480"/>
              </w:tabs>
              <w:spacing w:line="396" w:lineRule="exact"/>
              <w:jc w:val="center"/>
              <w:rPr>
                <w:rFonts w:hAnsi="宋体" w:cs="宋体"/>
                <w:szCs w:val="21"/>
                <w:highlight w:val="none"/>
              </w:rPr>
            </w:pPr>
            <w:r>
              <w:rPr>
                <w:rFonts w:hint="eastAsia" w:hAnsi="宋体" w:cs="宋体"/>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4E71BC7E">
            <w:pPr>
              <w:tabs>
                <w:tab w:val="left" w:pos="480"/>
              </w:tabs>
              <w:spacing w:line="396" w:lineRule="exact"/>
              <w:jc w:val="center"/>
              <w:rPr>
                <w:rFonts w:hAnsi="宋体" w:cs="宋体"/>
                <w:szCs w:val="21"/>
                <w:highlight w:val="none"/>
              </w:rPr>
            </w:pPr>
            <w:r>
              <w:rPr>
                <w:rFonts w:hint="eastAsia" w:hAnsi="宋体" w:cs="宋体"/>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4077C861">
            <w:pPr>
              <w:tabs>
                <w:tab w:val="left" w:pos="480"/>
              </w:tabs>
              <w:spacing w:line="396" w:lineRule="exact"/>
              <w:jc w:val="center"/>
              <w:rPr>
                <w:rFonts w:hAnsi="宋体" w:cs="宋体"/>
                <w:szCs w:val="21"/>
                <w:highlight w:val="none"/>
              </w:rPr>
            </w:pPr>
            <w:r>
              <w:rPr>
                <w:rFonts w:hint="eastAsia" w:hAnsi="宋体" w:cs="宋体"/>
                <w:szCs w:val="21"/>
                <w:highlight w:val="none"/>
              </w:rPr>
              <w:t>备注</w:t>
            </w:r>
          </w:p>
        </w:tc>
      </w:tr>
      <w:tr w14:paraId="7AFA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17BD8CF">
            <w:pPr>
              <w:tabs>
                <w:tab w:val="left" w:pos="480"/>
              </w:tabs>
              <w:spacing w:line="396" w:lineRule="exact"/>
              <w:jc w:val="center"/>
              <w:rPr>
                <w:rFonts w:hAnsi="宋体" w:cs="宋体"/>
                <w:szCs w:val="21"/>
                <w:highlight w:val="none"/>
              </w:rPr>
            </w:pPr>
            <w:r>
              <w:rPr>
                <w:rFonts w:hint="eastAsia" w:hAnsi="宋体" w:cs="宋体"/>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1F3F906C">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0DABF33">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5CB5929B">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46C909B7">
            <w:pPr>
              <w:tabs>
                <w:tab w:val="left" w:pos="480"/>
              </w:tabs>
              <w:spacing w:line="396" w:lineRule="exact"/>
              <w:jc w:val="center"/>
              <w:rPr>
                <w:rFonts w:hAnsi="宋体" w:cs="宋体"/>
                <w:szCs w:val="21"/>
                <w:highlight w:val="none"/>
              </w:rPr>
            </w:pPr>
          </w:p>
        </w:tc>
      </w:tr>
      <w:tr w14:paraId="576C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45ACE5D">
            <w:pPr>
              <w:tabs>
                <w:tab w:val="left" w:pos="480"/>
              </w:tabs>
              <w:spacing w:line="396" w:lineRule="exact"/>
              <w:jc w:val="center"/>
              <w:rPr>
                <w:rFonts w:hAnsi="宋体" w:cs="宋体"/>
                <w:szCs w:val="21"/>
                <w:highlight w:val="none"/>
              </w:rPr>
            </w:pPr>
            <w:r>
              <w:rPr>
                <w:rFonts w:hint="eastAsia" w:hAnsi="宋体" w:cs="宋体"/>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0147E25F">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2CB6804A">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78D1E27B">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E07FB43">
            <w:pPr>
              <w:tabs>
                <w:tab w:val="left" w:pos="480"/>
              </w:tabs>
              <w:spacing w:line="396" w:lineRule="exact"/>
              <w:jc w:val="center"/>
              <w:rPr>
                <w:rFonts w:hAnsi="宋体" w:cs="宋体"/>
                <w:szCs w:val="21"/>
                <w:highlight w:val="none"/>
              </w:rPr>
            </w:pPr>
          </w:p>
        </w:tc>
      </w:tr>
    </w:tbl>
    <w:p w14:paraId="2AC6A513">
      <w:pPr>
        <w:tabs>
          <w:tab w:val="left" w:pos="480"/>
        </w:tabs>
        <w:spacing w:line="360" w:lineRule="auto"/>
        <w:outlineLvl w:val="9"/>
        <w:rPr>
          <w:rFonts w:hAnsi="宋体" w:cs="宋体"/>
          <w:b/>
          <w:szCs w:val="21"/>
          <w:highlight w:val="none"/>
        </w:rPr>
      </w:pPr>
      <w:bookmarkStart w:id="9" w:name="_Toc8887"/>
      <w:bookmarkStart w:id="10" w:name="_Toc4137"/>
      <w:bookmarkStart w:id="11" w:name="_Toc3926"/>
      <w:r>
        <w:rPr>
          <w:rFonts w:hint="eastAsia" w:hAnsi="宋体" w:cs="宋体"/>
          <w:b/>
          <w:szCs w:val="21"/>
          <w:highlight w:val="none"/>
        </w:rPr>
        <w:t>二、合同价款</w:t>
      </w:r>
      <w:bookmarkEnd w:id="9"/>
      <w:bookmarkEnd w:id="10"/>
      <w:bookmarkEnd w:id="11"/>
    </w:p>
    <w:p w14:paraId="5BB65D24">
      <w:pPr>
        <w:tabs>
          <w:tab w:val="left" w:pos="480"/>
        </w:tabs>
        <w:spacing w:line="360" w:lineRule="auto"/>
        <w:ind w:firstLine="480" w:firstLineChars="200"/>
        <w:rPr>
          <w:rFonts w:hAnsi="宋体" w:cs="宋体"/>
          <w:szCs w:val="21"/>
          <w:highlight w:val="none"/>
          <w:u w:val="single"/>
        </w:rPr>
      </w:pPr>
      <w:r>
        <w:rPr>
          <w:rFonts w:hint="eastAsia" w:hAnsi="宋体" w:cs="宋体"/>
          <w:szCs w:val="21"/>
          <w:highlight w:val="none"/>
        </w:rPr>
        <w:t>（一）本合同为总价合同，各项活动服务的合同总价为其磋商最终报价。</w:t>
      </w:r>
    </w:p>
    <w:p w14:paraId="40649A5C">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（二）合同价包括：</w:t>
      </w:r>
      <w:r>
        <w:rPr>
          <w:rFonts w:hint="eastAsia"/>
          <w:highlight w:val="none"/>
        </w:rPr>
        <w:t>包括但不限于人工费、设备使用费、办公费、服务费、交通费、招标代理服务费、税金等其他一切相关费用。</w:t>
      </w:r>
    </w:p>
    <w:p w14:paraId="09820417">
      <w:pPr>
        <w:tabs>
          <w:tab w:val="left" w:pos="480"/>
        </w:tabs>
        <w:spacing w:line="360" w:lineRule="auto"/>
        <w:outlineLvl w:val="9"/>
        <w:rPr>
          <w:rFonts w:hAnsi="宋体" w:cs="宋体"/>
          <w:b/>
          <w:szCs w:val="21"/>
          <w:highlight w:val="none"/>
        </w:rPr>
      </w:pPr>
      <w:bookmarkStart w:id="12" w:name="_Toc6296"/>
      <w:bookmarkStart w:id="13" w:name="_Toc23247"/>
      <w:bookmarkStart w:id="14" w:name="_Toc28664"/>
      <w:r>
        <w:rPr>
          <w:rFonts w:hint="eastAsia" w:hAnsi="宋体" w:cs="宋体"/>
          <w:b/>
          <w:szCs w:val="21"/>
          <w:highlight w:val="none"/>
        </w:rPr>
        <w:t>三、款项结算</w:t>
      </w:r>
      <w:bookmarkEnd w:id="12"/>
      <w:bookmarkEnd w:id="13"/>
      <w:bookmarkEnd w:id="14"/>
    </w:p>
    <w:p w14:paraId="45C2DA3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详见合同前附表。</w:t>
      </w:r>
    </w:p>
    <w:p w14:paraId="1CEA4132">
      <w:pPr>
        <w:tabs>
          <w:tab w:val="left" w:pos="480"/>
        </w:tabs>
        <w:spacing w:line="360" w:lineRule="auto"/>
        <w:outlineLvl w:val="9"/>
        <w:rPr>
          <w:rFonts w:hAnsi="宋体" w:cs="宋体"/>
          <w:szCs w:val="21"/>
          <w:highlight w:val="none"/>
        </w:rPr>
      </w:pPr>
      <w:bookmarkStart w:id="15" w:name="_Toc21714"/>
      <w:bookmarkStart w:id="16" w:name="_Toc24406"/>
      <w:bookmarkStart w:id="17" w:name="_Toc21110"/>
      <w:r>
        <w:rPr>
          <w:rFonts w:hint="eastAsia" w:hAnsi="宋体" w:cs="宋体"/>
          <w:b/>
          <w:szCs w:val="21"/>
          <w:highlight w:val="none"/>
        </w:rPr>
        <w:t>四、服务条件：</w:t>
      </w:r>
      <w:bookmarkEnd w:id="15"/>
      <w:bookmarkEnd w:id="16"/>
      <w:bookmarkEnd w:id="17"/>
    </w:p>
    <w:p w14:paraId="1B66DE0D">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（一）服务地点：甲方指定地点。</w:t>
      </w:r>
    </w:p>
    <w:p w14:paraId="3BE030D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（二）服务期：自合同签订之日起</w:t>
      </w:r>
      <w:r>
        <w:rPr>
          <w:rFonts w:hint="eastAsia" w:hAnsi="宋体" w:cs="宋体"/>
          <w:szCs w:val="21"/>
          <w:highlight w:val="none"/>
          <w:u w:val="single"/>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w:t>
      </w:r>
    </w:p>
    <w:p w14:paraId="17E30A8D">
      <w:pPr>
        <w:tabs>
          <w:tab w:val="left" w:pos="480"/>
        </w:tabs>
        <w:spacing w:line="360" w:lineRule="auto"/>
        <w:outlineLvl w:val="9"/>
        <w:rPr>
          <w:rFonts w:hAnsi="宋体" w:cs="宋体"/>
          <w:b/>
          <w:szCs w:val="21"/>
          <w:highlight w:val="none"/>
        </w:rPr>
      </w:pPr>
      <w:bookmarkStart w:id="18" w:name="_Toc7966"/>
      <w:bookmarkStart w:id="19" w:name="_Toc27382"/>
      <w:bookmarkStart w:id="20" w:name="_Toc32459"/>
      <w:r>
        <w:rPr>
          <w:rFonts w:hint="eastAsia" w:hAnsi="宋体" w:cs="宋体"/>
          <w:b/>
          <w:szCs w:val="21"/>
          <w:highlight w:val="none"/>
        </w:rPr>
        <w:t>五、质量保证</w:t>
      </w:r>
      <w:bookmarkEnd w:id="18"/>
      <w:bookmarkEnd w:id="19"/>
      <w:bookmarkEnd w:id="20"/>
    </w:p>
    <w:p w14:paraId="794FA495">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1.乙方所提供货物和服务保证技术指标符合要求、质量性能可靠、必须符合国家相关法律法规的要求。</w:t>
      </w:r>
    </w:p>
    <w:p w14:paraId="451E6750">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2、成交单位应当保证其具有完成本项目所要求的货物和服务所必须具备的专业设备和服务能力。</w:t>
      </w:r>
    </w:p>
    <w:p w14:paraId="7AF8CF71">
      <w:pPr>
        <w:tabs>
          <w:tab w:val="left" w:pos="480"/>
        </w:tabs>
        <w:spacing w:line="360" w:lineRule="auto"/>
        <w:outlineLvl w:val="9"/>
        <w:rPr>
          <w:rFonts w:hAnsi="宋体" w:cs="宋体"/>
          <w:b/>
          <w:szCs w:val="21"/>
          <w:highlight w:val="none"/>
        </w:rPr>
      </w:pPr>
      <w:bookmarkStart w:id="21" w:name="_Toc12558"/>
      <w:bookmarkStart w:id="22" w:name="_Toc9903"/>
      <w:bookmarkStart w:id="23" w:name="_Toc21314"/>
      <w:r>
        <w:rPr>
          <w:rFonts w:hint="eastAsia" w:hAnsi="宋体" w:cs="宋体"/>
          <w:b/>
          <w:szCs w:val="21"/>
          <w:highlight w:val="none"/>
        </w:rPr>
        <w:t>六、技术与服务</w:t>
      </w:r>
      <w:bookmarkEnd w:id="21"/>
      <w:bookmarkEnd w:id="22"/>
      <w:bookmarkEnd w:id="23"/>
    </w:p>
    <w:p w14:paraId="215ACC8C">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（一）技术资料：</w:t>
      </w:r>
    </w:p>
    <w:p w14:paraId="1B7DB6B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技术资料：</w:t>
      </w:r>
    </w:p>
    <w:p w14:paraId="67C38349">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成交供应商应随同服务提供相应的中文技术文件。</w:t>
      </w:r>
    </w:p>
    <w:p w14:paraId="07999C72">
      <w:pPr>
        <w:tabs>
          <w:tab w:val="left" w:pos="480"/>
        </w:tabs>
        <w:spacing w:line="360" w:lineRule="auto"/>
        <w:ind w:firstLine="480" w:firstLineChars="200"/>
        <w:rPr>
          <w:highlight w:val="none"/>
        </w:rPr>
      </w:pPr>
      <w:r>
        <w:rPr>
          <w:rFonts w:hint="eastAsia" w:hAnsi="宋体" w:cs="宋体"/>
          <w:szCs w:val="21"/>
          <w:highlight w:val="none"/>
        </w:rPr>
        <w:t>（二）服务承诺：以竞争性磋商响应文件、澄清表（函）、合同和随货物的相关文件为准。</w:t>
      </w:r>
    </w:p>
    <w:p w14:paraId="37788B15">
      <w:pPr>
        <w:tabs>
          <w:tab w:val="left" w:pos="480"/>
        </w:tabs>
        <w:spacing w:line="360" w:lineRule="auto"/>
        <w:outlineLvl w:val="9"/>
        <w:rPr>
          <w:rFonts w:hAnsi="宋体" w:cs="宋体"/>
          <w:b/>
          <w:szCs w:val="21"/>
          <w:highlight w:val="none"/>
        </w:rPr>
      </w:pPr>
      <w:bookmarkStart w:id="24" w:name="_Toc12975"/>
      <w:bookmarkStart w:id="25" w:name="_Toc22161"/>
      <w:bookmarkStart w:id="26" w:name="_Toc14409"/>
      <w:r>
        <w:rPr>
          <w:rFonts w:hint="eastAsia" w:hAnsi="宋体" w:cs="宋体"/>
          <w:b/>
          <w:szCs w:val="21"/>
          <w:highlight w:val="none"/>
        </w:rPr>
        <w:t>七、验收</w:t>
      </w:r>
      <w:bookmarkEnd w:id="24"/>
      <w:bookmarkEnd w:id="25"/>
      <w:bookmarkEnd w:id="26"/>
    </w:p>
    <w:p w14:paraId="75D29A16">
      <w:pPr>
        <w:spacing w:line="360" w:lineRule="auto"/>
        <w:ind w:firstLine="480" w:firstLineChars="200"/>
        <w:rPr>
          <w:highlight w:val="none"/>
        </w:rPr>
      </w:pPr>
      <w:r>
        <w:rPr>
          <w:rFonts w:hint="eastAsia"/>
          <w:highlight w:val="none"/>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7BD2B24F">
      <w:pPr>
        <w:spacing w:line="360" w:lineRule="auto"/>
        <w:ind w:firstLine="480" w:firstLineChars="200"/>
        <w:rPr>
          <w:highlight w:val="none"/>
        </w:rPr>
      </w:pPr>
      <w:r>
        <w:rPr>
          <w:rFonts w:hint="eastAsia"/>
          <w:highlight w:val="none"/>
        </w:rPr>
        <w:t>2、若发现乙方有弄虚作假的，及在项目实施阶段故意或随意夸大服务，本合同解除，乙方赔偿甲方相应的损失。</w:t>
      </w:r>
    </w:p>
    <w:p w14:paraId="61C35E11">
      <w:pPr>
        <w:spacing w:line="360" w:lineRule="auto"/>
        <w:ind w:firstLine="480" w:firstLineChars="200"/>
        <w:rPr>
          <w:highlight w:val="none"/>
        </w:rPr>
      </w:pPr>
      <w:r>
        <w:rPr>
          <w:rFonts w:hint="eastAsia"/>
          <w:highlight w:val="none"/>
        </w:rPr>
        <w:t>3、验收标准：按磋商文件、磋商响应文件及磋商记录表等技术指标进行逐项验收。各项指标均应符合验收标准及要求。</w:t>
      </w:r>
    </w:p>
    <w:p w14:paraId="7C549DEB">
      <w:pPr>
        <w:tabs>
          <w:tab w:val="left" w:pos="480"/>
        </w:tabs>
        <w:spacing w:line="360" w:lineRule="auto"/>
        <w:outlineLvl w:val="9"/>
        <w:rPr>
          <w:rFonts w:hAnsi="宋体" w:cs="宋体"/>
          <w:b/>
          <w:szCs w:val="21"/>
          <w:highlight w:val="none"/>
        </w:rPr>
      </w:pPr>
      <w:bookmarkStart w:id="27" w:name="_Toc30681"/>
      <w:bookmarkStart w:id="28" w:name="_Toc9858"/>
      <w:bookmarkStart w:id="29" w:name="_Toc20026"/>
      <w:r>
        <w:rPr>
          <w:rFonts w:hint="eastAsia" w:hAnsi="宋体" w:cs="宋体"/>
          <w:b/>
          <w:szCs w:val="21"/>
          <w:highlight w:val="none"/>
        </w:rPr>
        <w:t>八、违约责任</w:t>
      </w:r>
      <w:bookmarkEnd w:id="27"/>
      <w:bookmarkEnd w:id="28"/>
      <w:bookmarkEnd w:id="29"/>
    </w:p>
    <w:p w14:paraId="5BCA4E1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1、按《中华人民共和国民法典》中的相关条款执行。</w:t>
      </w:r>
    </w:p>
    <w:p w14:paraId="6F08ECF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p w14:paraId="3EF1F245">
      <w:pPr>
        <w:tabs>
          <w:tab w:val="left" w:pos="480"/>
        </w:tabs>
        <w:spacing w:line="360" w:lineRule="auto"/>
        <w:outlineLvl w:val="9"/>
        <w:rPr>
          <w:rFonts w:hAnsi="宋体" w:cs="宋体"/>
          <w:b/>
          <w:szCs w:val="21"/>
          <w:highlight w:val="none"/>
        </w:rPr>
      </w:pPr>
      <w:bookmarkStart w:id="30" w:name="_Toc15856"/>
      <w:bookmarkStart w:id="31" w:name="_Toc13662"/>
      <w:bookmarkStart w:id="32" w:name="_Toc27523"/>
      <w:r>
        <w:rPr>
          <w:rFonts w:hint="eastAsia" w:hAnsi="宋体" w:cs="宋体"/>
          <w:b/>
          <w:szCs w:val="21"/>
          <w:highlight w:val="none"/>
        </w:rPr>
        <w:t>九、合同争议解决的方式</w:t>
      </w:r>
      <w:bookmarkEnd w:id="30"/>
      <w:bookmarkEnd w:id="31"/>
      <w:bookmarkEnd w:id="32"/>
    </w:p>
    <w:p w14:paraId="11912A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本合同在履行过程中发生的争议，由甲、乙双方当事人协商解决，协商不成的按下列第</w:t>
      </w:r>
      <w:r>
        <w:rPr>
          <w:rFonts w:hint="eastAsia" w:hAnsi="宋体" w:cs="宋体"/>
          <w:szCs w:val="21"/>
          <w:highlight w:val="none"/>
          <w:u w:val="single"/>
        </w:rPr>
        <w:t xml:space="preserve">    </w:t>
      </w:r>
      <w:r>
        <w:rPr>
          <w:rFonts w:hint="eastAsia" w:hAnsi="宋体" w:cs="宋体"/>
          <w:szCs w:val="21"/>
          <w:highlight w:val="none"/>
        </w:rPr>
        <w:t>种方式解决：</w:t>
      </w:r>
    </w:p>
    <w:p w14:paraId="297634A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（一）提交</w:t>
      </w:r>
      <w:r>
        <w:rPr>
          <w:rFonts w:hint="eastAsia" w:hAnsi="宋体" w:cs="宋体"/>
          <w:szCs w:val="21"/>
          <w:highlight w:val="none"/>
          <w:u w:val="single"/>
        </w:rPr>
        <w:t xml:space="preserve">        </w:t>
      </w:r>
      <w:r>
        <w:rPr>
          <w:rFonts w:hint="eastAsia" w:hAnsi="宋体" w:cs="宋体"/>
          <w:szCs w:val="21"/>
          <w:highlight w:val="none"/>
        </w:rPr>
        <w:t>仲裁委员会仲裁；</w:t>
      </w:r>
    </w:p>
    <w:p w14:paraId="419E0AA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（二）依法向 </w:t>
      </w:r>
      <w:r>
        <w:rPr>
          <w:rFonts w:hint="eastAsia" w:hAnsi="宋体" w:cs="宋体"/>
          <w:szCs w:val="21"/>
          <w:highlight w:val="none"/>
          <w:u w:val="single"/>
        </w:rPr>
        <w:t xml:space="preserve">       </w:t>
      </w:r>
      <w:r>
        <w:rPr>
          <w:rFonts w:hint="eastAsia" w:hAnsi="宋体" w:cs="宋体"/>
          <w:szCs w:val="21"/>
          <w:highlight w:val="none"/>
        </w:rPr>
        <w:t>所在地人民法院起诉。</w:t>
      </w:r>
    </w:p>
    <w:p w14:paraId="1328F499">
      <w:pPr>
        <w:tabs>
          <w:tab w:val="left" w:pos="480"/>
        </w:tabs>
        <w:spacing w:line="360" w:lineRule="auto"/>
        <w:outlineLvl w:val="9"/>
        <w:rPr>
          <w:rFonts w:hAnsi="宋体" w:cs="宋体"/>
          <w:b/>
          <w:szCs w:val="21"/>
          <w:highlight w:val="none"/>
        </w:rPr>
      </w:pPr>
      <w:bookmarkStart w:id="33" w:name="_Toc18389"/>
      <w:bookmarkStart w:id="34" w:name="_Toc7342"/>
      <w:bookmarkStart w:id="35" w:name="_Toc2858"/>
      <w:r>
        <w:rPr>
          <w:rFonts w:hint="eastAsia" w:hAnsi="宋体" w:cs="宋体"/>
          <w:b/>
          <w:szCs w:val="21"/>
          <w:highlight w:val="none"/>
        </w:rPr>
        <w:t>十、合同生效</w:t>
      </w:r>
      <w:bookmarkEnd w:id="33"/>
      <w:bookmarkEnd w:id="34"/>
      <w:bookmarkEnd w:id="35"/>
    </w:p>
    <w:p w14:paraId="18CA744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int="eastAsia" w:hAnsi="宋体" w:cs="宋体"/>
          <w:szCs w:val="21"/>
          <w:highlight w:val="none"/>
        </w:rPr>
        <w:t>份，甲方执</w:t>
      </w:r>
      <w:r>
        <w:rPr>
          <w:rFonts w:hint="eastAsia" w:hAnsi="宋体" w:cs="宋体"/>
          <w:szCs w:val="21"/>
          <w:highlight w:val="none"/>
          <w:u w:val="single"/>
        </w:rPr>
        <w:t xml:space="preserve">   </w:t>
      </w:r>
      <w:r>
        <w:rPr>
          <w:rFonts w:hint="eastAsia" w:hAnsi="宋体" w:cs="宋体"/>
          <w:szCs w:val="21"/>
          <w:highlight w:val="none"/>
        </w:rPr>
        <w:t>份，乙方执</w:t>
      </w:r>
      <w:r>
        <w:rPr>
          <w:rFonts w:hint="eastAsia" w:hAnsi="宋体" w:cs="宋体"/>
          <w:szCs w:val="21"/>
          <w:highlight w:val="none"/>
          <w:u w:val="single"/>
        </w:rPr>
        <w:t xml:space="preserve">    </w:t>
      </w:r>
      <w:r>
        <w:rPr>
          <w:rFonts w:hint="eastAsia" w:hAnsi="宋体" w:cs="宋体"/>
          <w:szCs w:val="21"/>
          <w:highlight w:val="none"/>
        </w:rPr>
        <w:t>份，本合同甲、乙、确认各方签字盖章后生效，合同执行完毕后，自动失效（合同的服务承诺则长期有效）。</w:t>
      </w:r>
    </w:p>
    <w:p w14:paraId="77F2631B">
      <w:pPr>
        <w:tabs>
          <w:tab w:val="left" w:pos="480"/>
        </w:tabs>
        <w:spacing w:line="360" w:lineRule="auto"/>
        <w:outlineLvl w:val="9"/>
        <w:rPr>
          <w:rFonts w:hAnsi="宋体" w:cs="宋体"/>
          <w:b/>
          <w:szCs w:val="21"/>
          <w:highlight w:val="none"/>
        </w:rPr>
      </w:pPr>
      <w:bookmarkStart w:id="36" w:name="_Toc18381"/>
      <w:bookmarkStart w:id="37" w:name="_Toc18225"/>
      <w:bookmarkStart w:id="38" w:name="_Toc823"/>
      <w:r>
        <w:rPr>
          <w:rFonts w:hint="eastAsia" w:hAnsi="宋体" w:cs="宋体"/>
          <w:b/>
          <w:szCs w:val="21"/>
          <w:highlight w:val="none"/>
        </w:rPr>
        <w:t>十一、其他事项</w:t>
      </w:r>
      <w:bookmarkEnd w:id="36"/>
      <w:bookmarkEnd w:id="37"/>
      <w:bookmarkEnd w:id="38"/>
    </w:p>
    <w:p w14:paraId="533ECD6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2F56D34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783BA8F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5AD50AF1">
      <w:pPr>
        <w:spacing w:line="360" w:lineRule="auto"/>
        <w:ind w:firstLine="420"/>
        <w:rPr>
          <w:szCs w:val="24"/>
          <w:highlight w:val="none"/>
        </w:rPr>
      </w:pPr>
      <w:r>
        <w:rPr>
          <w:rFonts w:hint="eastAsia" w:hAnsi="宋体"/>
          <w:szCs w:val="24"/>
          <w:highlight w:val="none"/>
        </w:rPr>
        <w:t>（四）执行本合同过程中发生争议，由当事人双方协商解决。协商不成，可向采购方所在地人民法院提起诉讼。</w:t>
      </w:r>
    </w:p>
    <w:p w14:paraId="67E81775">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067C5BC">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7D6CD32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017623A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08C48FBA">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642620ED">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279FDAEC">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100846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0A15D57D">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77D3C90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4EA152EB">
      <w:pPr>
        <w:tabs>
          <w:tab w:val="left" w:pos="480"/>
        </w:tabs>
        <w:spacing w:line="360" w:lineRule="auto"/>
        <w:ind w:firstLine="240" w:firstLineChars="100"/>
        <w:rPr>
          <w:rFonts w:hAnsi="宋体" w:cs="宋体"/>
          <w:szCs w:val="21"/>
          <w:highlight w:val="none"/>
        </w:rPr>
      </w:pPr>
      <w:r>
        <w:rPr>
          <w:rFonts w:hint="eastAsia" w:hAnsi="宋体" w:cs="宋体"/>
          <w:szCs w:val="21"/>
          <w:highlight w:val="none"/>
        </w:rPr>
        <w:t xml:space="preserve">签订日期：     年    月      日          </w:t>
      </w:r>
      <w:bookmarkStart w:id="39" w:name="_GoBack"/>
      <w:bookmarkEnd w:id="39"/>
      <w:r>
        <w:rPr>
          <w:rFonts w:hint="eastAsia" w:hAnsi="宋体" w:cs="宋体"/>
          <w:szCs w:val="21"/>
          <w:highlight w:val="none"/>
        </w:rPr>
        <w:t xml:space="preserve"> 签订日期：    年    月   日</w:t>
      </w:r>
    </w:p>
    <w:p w14:paraId="0A3A5DE7"/>
    <w:sectPr>
      <w:pgSz w:w="11905" w:h="16839"/>
      <w:pgMar w:top="1440" w:right="1800" w:bottom="1440" w:left="1800" w:header="0" w:footer="1015"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665163"/>
    <w:rsid w:val="383D64EA"/>
    <w:rsid w:val="48665163"/>
    <w:rsid w:val="599A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2026-05-15T07:59:00Z</dcterms:created>
  <dc:creator>救赎</dc:creator>
  <cp:lastModifiedBy>救赎</cp:lastModifiedBy>
  <dcterms:modified xsi:type="dcterms:W3CDTF">2026-05-15T08:01:50Z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B89A643AEE3940D5AF5FDB5720C93968_11</vt:lpwstr>
  </property>
  <property fmtid="{D5CDD505-2E9C-101B-9397-08002B2CF9AE}" pid="4" name="KSOTemplateDocerSaveRecord">
    <vt:lpwstr>eyJoZGlkIjoiYWY2MDIyMzQzYjM2ODQxODVjMmE5N2Y0OWY1OGFkNTYiLCJ1c2VySWQiOiIxNTU5MDg0MTUyIn0=</vt:lpwstr>
  </property>
</Properties>
</file>