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版本号：SXCFY2026060320260810001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薛镇城镇道路改造提升项目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SXCFY20260603</w:t>
      </w:r>
      <w:r>
        <w:br/>
      </w:r>
      <w:r>
        <w:br/>
      </w:r>
      <w:r>
        <w:br/>
      </w:r>
    </w:p>
    <w:p>
      <w:pPr>
        <w:pStyle w:val="null3"/>
        <w:jc w:val="center"/>
        <w:outlineLvl w:val="2"/>
      </w:pPr>
      <w:r>
        <w:rPr>
          <w:rFonts w:ascii="仿宋_GB2312" w:hAnsi="仿宋_GB2312" w:cs="仿宋_GB2312" w:eastAsia="仿宋_GB2312"/>
          <w:sz w:val="28"/>
          <w:b/>
        </w:rPr>
        <w:t>富平县薛镇人民政府（本级）</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富平县薛镇人民政府（本级）</w:t>
      </w:r>
      <w:r>
        <w:rPr>
          <w:rFonts w:ascii="仿宋_GB2312" w:hAnsi="仿宋_GB2312" w:cs="仿宋_GB2312" w:eastAsia="仿宋_GB2312"/>
        </w:rPr>
        <w:t>委托，拟对</w:t>
      </w:r>
      <w:r>
        <w:rPr>
          <w:rFonts w:ascii="仿宋_GB2312" w:hAnsi="仿宋_GB2312" w:cs="仿宋_GB2312" w:eastAsia="仿宋_GB2312"/>
        </w:rPr>
        <w:t>薛镇城镇道路改造提升项目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SXCFY20260603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薛镇城镇道路改造提升项目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沥青路面主要涉及薛镇庙西路、金城南路。庙西路路段全长1500m，宽度5m；金城南路路段全长392.52m，宽度5m。改造前为混凝土路面，改造后路面为沥青混凝土，给排水管网、照明工程。详见图纸及工程量清单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采购包1（薛镇城镇道路改造提升项目）：属于专门面向中小企业采购。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2、企业资质：供应商须具备市政公用工程施工总承包三级以上（含三级）资质，同时具备有效的安全生产许可证；</w:t>
      </w:r>
    </w:p>
    <w:p>
      <w:pPr>
        <w:pStyle w:val="null3"/>
      </w:pPr>
      <w:r>
        <w:rPr>
          <w:rFonts w:ascii="仿宋_GB2312" w:hAnsi="仿宋_GB2312" w:cs="仿宋_GB2312" w:eastAsia="仿宋_GB2312"/>
        </w:rPr>
        <w:t>3、项目经理资质：拟派项目经理具有市政公用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4、陕西省建筑市场监管与诚信信息发布平台：供应商及供应商拟派项目经理须在“陕西省建筑市场监管与诚信信息发布平台”可查询。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富平县薛镇人民政府（本级）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富平县薛镇街道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18717437915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陕西省西安市新城区金花北路天彩大厦B座20楼2001室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阮旭静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开户名称：陕西诚⽅源项⽬管理有限公司</w:t>
            </w:r>
          </w:p>
          <w:p>
            <w:pPr>
              <w:pStyle w:val="null3"/>
            </w:pPr>
            <w:r>
              <w:rPr>
                <w:rFonts w:ascii="仿宋_GB2312" w:hAnsi="仿宋_GB2312" w:cs="仿宋_GB2312" w:eastAsia="仿宋_GB2312"/>
              </w:rPr>
              <w:t>开户银行：中信银⾏股份有限公司西安咸宁路⽀⾏（缴纳保证⾦时需备注“项⽬编号+磋商保证⾦”）</w:t>
            </w:r>
          </w:p>
          <w:p>
            <w:pPr>
              <w:pStyle w:val="null3"/>
            </w:pPr>
            <w:r>
              <w:rPr>
                <w:rFonts w:ascii="仿宋_GB2312" w:hAnsi="仿宋_GB2312" w:cs="仿宋_GB2312" w:eastAsia="仿宋_GB2312"/>
              </w:rPr>
              <w:t>银行账号：8111701011600592875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2002年颁发的《招标代理服务收费管理暂行办法》(计价格〔2002〕1980号)、国家发展和改革委员会办公厅颁发的《关于招标代理服务费收费有关问题的通知》（发改办价格〔2003〕857号）及《调整后的招标代理服务收费标准》(发改价格〔2011〕534号)的规定标准计取。 造价咨询服务费（最高限价）：参照《陕西省物价局陕西省住房和城乡建设厅关于我省工程造价咨询服务收费标准有关问题的通知陕价行发（2014）88号》文件收取。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富平县薛镇人民政府（本级）</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富平县薛镇人民政府（本级）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富平县薛镇人民政府（本级）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1、乙方保证其提供本合同项下的产品具备相应资质，为履行本合同而使用的产品不存在权利瑕疵或侵害第三人利益的情形。 2、本项目涉及的保密内容包括技术信息、经营信息等，双方都有责任对对方提供的技术情报、资料数据及商业秘密保密，不得向第三方泄露。 3、未经对方同意，任何一方不得以任何形式公开本合同及附件内容。双方在未征得对方同意的情况下，不得向第三方泄露在项目中接触到的需要保密的信息和资料。不得为任何本合同之外的其他目的而自行使用或允许他人使用从对方获得的信息(包括但不限于所有的报告、摘录、纪要、文件、计划、报表、复印件等)。 4、负有保密义务的人员范围为甲乙双方参与及知悉项目的所有人员，双方负有永久保密义务。 5、本项目项下产生数据资料、统计资料等电子信息所有权属于甲方，未经甲方书面同意，乙方不得以任何方式使用或变相使用，不得以任何方式向第三方披露，否则，乙方应当向甲方赔偿损失。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联系人：阮旭静</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地址：陕西省西安市新城区金花北路天彩大厦B座20楼2001室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1,992,607.19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薛镇城镇道路改造提升项目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标的名称：薛镇城镇道路改造提升项目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1、工程概况</w:t>
            </w:r>
          </w:p>
          <w:p>
            <w:pPr>
              <w:pStyle w:val="null3"/>
            </w:pPr>
            <w:r>
              <w:rPr>
                <w:rFonts w:ascii="仿宋_GB2312" w:hAnsi="仿宋_GB2312" w:cs="仿宋_GB2312" w:eastAsia="仿宋_GB2312"/>
                <w:sz w:val="19"/>
                <w:color w:val="000000"/>
              </w:rPr>
              <w:t>（1）、工程名称：薛镇城镇道路改造提升项目</w:t>
            </w:r>
          </w:p>
          <w:p>
            <w:pPr>
              <w:pStyle w:val="null3"/>
            </w:pPr>
            <w:r>
              <w:rPr>
                <w:rFonts w:ascii="仿宋_GB2312" w:hAnsi="仿宋_GB2312" w:cs="仿宋_GB2312" w:eastAsia="仿宋_GB2312"/>
                <w:sz w:val="19"/>
                <w:color w:val="000000"/>
              </w:rPr>
              <w:t>（2）、工程地点：薛镇城镇</w:t>
            </w:r>
          </w:p>
          <w:p>
            <w:pPr>
              <w:pStyle w:val="null3"/>
            </w:pPr>
            <w:r>
              <w:rPr>
                <w:rFonts w:ascii="仿宋_GB2312" w:hAnsi="仿宋_GB2312" w:cs="仿宋_GB2312" w:eastAsia="仿宋_GB2312"/>
                <w:sz w:val="19"/>
                <w:color w:val="000000"/>
              </w:rPr>
              <w:t>（3）、施工内容：沥青路面主要涉及薛镇庙西路、金城南路。庙西路路段全长1500m，宽度5m；金城南路路段全长39</w:t>
            </w:r>
            <w:r>
              <w:rPr>
                <w:rFonts w:ascii="仿宋_GB2312" w:hAnsi="仿宋_GB2312" w:cs="仿宋_GB2312" w:eastAsia="仿宋_GB2312"/>
                <w:sz w:val="19"/>
                <w:color w:val="000000"/>
              </w:rPr>
              <w:t>2.52m，宽度5m。改造前为混凝土路面，改造后路面为沥青混凝土，给排水管网、照明工程。</w:t>
            </w:r>
          </w:p>
          <w:p>
            <w:pPr>
              <w:pStyle w:val="null3"/>
            </w:pPr>
            <w:r>
              <w:rPr>
                <w:rFonts w:ascii="仿宋_GB2312" w:hAnsi="仿宋_GB2312" w:cs="仿宋_GB2312" w:eastAsia="仿宋_GB2312"/>
                <w:sz w:val="19"/>
                <w:color w:val="000000"/>
              </w:rPr>
              <w:t>2、编制依据</w:t>
            </w:r>
          </w:p>
          <w:p>
            <w:pPr>
              <w:pStyle w:val="null3"/>
            </w:pPr>
            <w:r>
              <w:rPr>
                <w:rFonts w:ascii="仿宋_GB2312" w:hAnsi="仿宋_GB2312" w:cs="仿宋_GB2312" w:eastAsia="仿宋_GB2312"/>
                <w:sz w:val="19"/>
                <w:color w:val="000000"/>
              </w:rPr>
              <w:t xml:space="preserve">（1）、《陕西省建设工程工程量清单计价规则》（2025）、《陕西省建设工程工程量清单计价费率》（2025）及其配 </w:t>
            </w:r>
            <w:r>
              <w:rPr>
                <w:rFonts w:ascii="仿宋_GB2312" w:hAnsi="仿宋_GB2312" w:cs="仿宋_GB2312" w:eastAsia="仿宋_GB2312"/>
                <w:sz w:val="19"/>
                <w:color w:val="000000"/>
              </w:rPr>
              <w:t>套文件中工程量计算办法；</w:t>
            </w:r>
          </w:p>
          <w:p>
            <w:pPr>
              <w:pStyle w:val="null3"/>
            </w:pPr>
            <w:r>
              <w:rPr>
                <w:rFonts w:ascii="仿宋_GB2312" w:hAnsi="仿宋_GB2312" w:cs="仿宋_GB2312" w:eastAsia="仿宋_GB2312"/>
                <w:sz w:val="19"/>
                <w:color w:val="000000"/>
              </w:rPr>
              <w:t>（2）、《陕西省建筑、装饰、安装工程消耗量定额》（2025）及其他相关文件；</w:t>
            </w:r>
          </w:p>
          <w:p>
            <w:pPr>
              <w:pStyle w:val="null3"/>
            </w:pPr>
            <w:r>
              <w:rPr>
                <w:rFonts w:ascii="仿宋_GB2312" w:hAnsi="仿宋_GB2312" w:cs="仿宋_GB2312" w:eastAsia="仿宋_GB2312"/>
                <w:sz w:val="19"/>
                <w:color w:val="000000"/>
              </w:rPr>
              <w:t>（3）、《关于调整房屋建筑和市政基础设施工程工程量清单计价综合人工单价的通知》（陕建发[2021]1097号）；</w:t>
            </w:r>
          </w:p>
          <w:p>
            <w:pPr>
              <w:pStyle w:val="null3"/>
            </w:pPr>
            <w:r>
              <w:rPr>
                <w:rFonts w:ascii="仿宋_GB2312" w:hAnsi="仿宋_GB2312" w:cs="仿宋_GB2312" w:eastAsia="仿宋_GB2312"/>
                <w:sz w:val="19"/>
                <w:color w:val="000000"/>
              </w:rPr>
              <w:t>（4）、《关于调整陕西省建设工程计价依据的通知》（陕建发〔2019〕45号）；</w:t>
            </w:r>
          </w:p>
          <w:p>
            <w:pPr>
              <w:pStyle w:val="null3"/>
            </w:pPr>
            <w:r>
              <w:rPr>
                <w:rFonts w:ascii="仿宋_GB2312" w:hAnsi="仿宋_GB2312" w:cs="仿宋_GB2312" w:eastAsia="仿宋_GB2312"/>
                <w:sz w:val="19"/>
                <w:color w:val="000000"/>
              </w:rPr>
              <w:t>（5）、《关于建筑施工安全生产责任保险费用计价的通知》（陕建发〔2020〕1097号）；</w:t>
            </w:r>
          </w:p>
          <w:p>
            <w:pPr>
              <w:pStyle w:val="null3"/>
            </w:pPr>
            <w:r>
              <w:rPr>
                <w:rFonts w:ascii="仿宋_GB2312" w:hAnsi="仿宋_GB2312" w:cs="仿宋_GB2312" w:eastAsia="仿宋_GB2312"/>
                <w:sz w:val="19"/>
                <w:color w:val="000000"/>
              </w:rPr>
              <w:t>（6）、主材价格根据参考信息价及市场价并结合甲方质量要求组价;</w:t>
            </w:r>
          </w:p>
          <w:p>
            <w:pPr>
              <w:pStyle w:val="null3"/>
            </w:pPr>
            <w:r>
              <w:rPr>
                <w:rFonts w:ascii="仿宋_GB2312" w:hAnsi="仿宋_GB2312" w:cs="仿宋_GB2312" w:eastAsia="仿宋_GB2312"/>
                <w:sz w:val="19"/>
                <w:color w:val="000000"/>
              </w:rPr>
              <w:t>（7）、国家其他相关法律法规;</w:t>
            </w:r>
          </w:p>
          <w:p>
            <w:pPr>
              <w:pStyle w:val="null3"/>
            </w:pPr>
            <w:r>
              <w:rPr>
                <w:rFonts w:ascii="仿宋_GB2312" w:hAnsi="仿宋_GB2312" w:cs="仿宋_GB2312" w:eastAsia="仿宋_GB2312"/>
                <w:sz w:val="19"/>
                <w:color w:val="000000"/>
              </w:rPr>
              <w:t>（8）、暂列金 ：0万计入;</w:t>
            </w:r>
          </w:p>
          <w:p>
            <w:pPr>
              <w:pStyle w:val="null3"/>
            </w:pPr>
            <w:r>
              <w:rPr>
                <w:rFonts w:ascii="仿宋_GB2312" w:hAnsi="仿宋_GB2312" w:cs="仿宋_GB2312" w:eastAsia="仿宋_GB2312"/>
                <w:sz w:val="19"/>
                <w:color w:val="000000"/>
              </w:rPr>
              <w:t>（9）、专业工程暂估价：代理费14881元。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此项要求不允许负偏离： 1、工期：自乙方进场之日起30个日历日内竣工并完成全部施工内容，具备竣工验收条件； 2、违约责任：工程质量不符合规定的，负责无偿修理或返工。由于修理或返工造成逾期交付的，偿付逾期违约金； 3、合同价款支付：合同签订且施工进场后，支付合同价款的40%；竣工验收合格后，支付合同价款的57%；质保期结束，支付合同价款的3%。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成交单位在中标(成交)结果公告结束后3个工作日内向采购代理机构提供纸质版响应文件正本一份（正本加盖鲜章），副本二份，电子U盘一份(投标文件内容与电子版一致，U盘内包含已标价工程量清单软件版)。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供应商须具备市政公用工程施工总承包三级以上（含三级）资质，同时具备有效的安全生产许可证；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拟派项目经理具有市政公用工程专业二级以上（含二级）注册建造师执业资格，并具有合法有效的安全生产考核合格证（建安B证），须在本单位注册，且无其他在建工程（提供无在建工程承诺书）；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报价是否超采购预算或最高限价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符合磋商文件商务条款要求。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满足项目实际要求，无瑕疵计15分， 每有1处瑕疵扣1分， 存在15处及以上瑕疵或未提供，不计分。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满足项目实际要求，无瑕疵计8分，每有1处瑕疵扣1分，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满足项目实际要求，无瑕疵计8分， 每有1处瑕疵扣1分，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3、质量技术组织措施.docx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满足项目实际要求，无瑕疵计8分， 每有1处瑕疵扣1分，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4、应急预案.docx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满足项目实际要求，无瑕疵计8分， 每有1处瑕疵扣1分，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6、安全文明施工措施.docx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提供供应商2023年8月1日至今类似项目合同。（以合同签订日期为准）。 扫描件必须清晰体现签约主体和日期、项目名称及内容、合同金额等核心要素，否则不计为有效业绩。每提供1个得3分，最高得3分。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供应商针对本项目提供的项目⼈员组成，技术负责⼈（职称、学历、⼯作年限等），其他项目⼈员构成情况（岗位设置、专业种类及能⼒、有技术职称的⼈员⽐例）等进⾏评审。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8、项目⼈员组成.docx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详见附件：基本资格要求.docx</w:t>
      </w:r>
    </w:p>
    <w:p>
      <w:pPr>
        <w:pStyle w:val="null3"/>
        <w:ind w:firstLine="960"/>
      </w:pPr>
      <w:r>
        <w:rPr>
          <w:rFonts w:ascii="仿宋_GB2312" w:hAnsi="仿宋_GB2312" w:cs="仿宋_GB2312" w:eastAsia="仿宋_GB2312"/>
        </w:rPr>
        <w:t>详见附件：1、施工方案.docx</w:t>
      </w:r>
    </w:p>
    <w:p>
      <w:pPr>
        <w:pStyle w:val="null3"/>
        <w:ind w:firstLine="960"/>
      </w:pPr>
      <w:r>
        <w:rPr>
          <w:rFonts w:ascii="仿宋_GB2312" w:hAnsi="仿宋_GB2312" w:cs="仿宋_GB2312" w:eastAsia="仿宋_GB2312"/>
        </w:rPr>
        <w:t>详见附件：2、施工进度计划.docx</w:t>
      </w:r>
    </w:p>
    <w:p>
      <w:pPr>
        <w:pStyle w:val="null3"/>
        <w:ind w:firstLine="960"/>
      </w:pPr>
      <w:r>
        <w:rPr>
          <w:rFonts w:ascii="仿宋_GB2312" w:hAnsi="仿宋_GB2312" w:cs="仿宋_GB2312" w:eastAsia="仿宋_GB2312"/>
        </w:rPr>
        <w:t>详见附件：3、质量技术组织措施.docx</w:t>
      </w:r>
    </w:p>
    <w:p>
      <w:pPr>
        <w:pStyle w:val="null3"/>
        <w:ind w:firstLine="960"/>
      </w:pPr>
      <w:r>
        <w:rPr>
          <w:rFonts w:ascii="仿宋_GB2312" w:hAnsi="仿宋_GB2312" w:cs="仿宋_GB2312" w:eastAsia="仿宋_GB2312"/>
        </w:rPr>
        <w:t>详见附件：4、应急预案.docx</w:t>
      </w:r>
    </w:p>
    <w:p>
      <w:pPr>
        <w:pStyle w:val="null3"/>
        <w:ind w:firstLine="960"/>
      </w:pPr>
      <w:r>
        <w:rPr>
          <w:rFonts w:ascii="仿宋_GB2312" w:hAnsi="仿宋_GB2312" w:cs="仿宋_GB2312" w:eastAsia="仿宋_GB2312"/>
        </w:rPr>
        <w:t>详见附件：5、周边设施及成品保护措施.docx</w:t>
      </w:r>
    </w:p>
    <w:p>
      <w:pPr>
        <w:pStyle w:val="null3"/>
        <w:ind w:firstLine="960"/>
      </w:pPr>
      <w:r>
        <w:rPr>
          <w:rFonts w:ascii="仿宋_GB2312" w:hAnsi="仿宋_GB2312" w:cs="仿宋_GB2312" w:eastAsia="仿宋_GB2312"/>
        </w:rPr>
        <w:t>详见附件：6、安全文明施工措施.docx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详见附件：8、项目⼈员组成.docx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详见附件：拒绝贿赂承诺书.docx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