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61A0B">
      <w:pPr>
        <w:jc w:val="center"/>
        <w:outlineLvl w:val="0"/>
        <w:rPr>
          <w:rFonts w:hint="eastAsia" w:ascii="仿宋" w:hAnsi="仿宋" w:eastAsia="仿宋" w:cs="仿宋"/>
          <w:b/>
          <w:color w:val="000000"/>
          <w:spacing w:val="20"/>
          <w:sz w:val="48"/>
          <w:szCs w:val="52"/>
          <w:highlight w:val="none"/>
          <w:lang w:eastAsia="zh-CN"/>
        </w:rPr>
      </w:pPr>
      <w:bookmarkStart w:id="0" w:name="_Toc28948"/>
    </w:p>
    <w:p w14:paraId="6ABCAAB6">
      <w:pPr>
        <w:jc w:val="center"/>
        <w:outlineLvl w:val="0"/>
        <w:rPr>
          <w:rFonts w:hint="eastAsia" w:ascii="仿宋" w:hAnsi="仿宋" w:eastAsia="仿宋" w:cs="仿宋"/>
          <w:b/>
          <w:color w:val="000000"/>
          <w:spacing w:val="20"/>
          <w:sz w:val="48"/>
          <w:szCs w:val="52"/>
          <w:highlight w:val="none"/>
          <w:lang w:eastAsia="zh-CN"/>
        </w:rPr>
      </w:pPr>
    </w:p>
    <w:p w14:paraId="26DD71CA">
      <w:pPr>
        <w:jc w:val="center"/>
        <w:outlineLvl w:val="0"/>
        <w:rPr>
          <w:rFonts w:hint="eastAsia" w:ascii="仿宋" w:hAnsi="仿宋" w:eastAsia="仿宋" w:cs="仿宋"/>
          <w:b/>
          <w:color w:val="000000"/>
          <w:spacing w:val="20"/>
          <w:sz w:val="48"/>
          <w:szCs w:val="52"/>
          <w:highlight w:val="none"/>
          <w:lang w:eastAsia="zh-CN"/>
        </w:rPr>
      </w:pPr>
    </w:p>
    <w:bookmarkEnd w:id="0"/>
    <w:p w14:paraId="4BAB2640">
      <w:pPr>
        <w:jc w:val="center"/>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lang w:val="en-US" w:eastAsia="zh-CN"/>
        </w:rPr>
        <w:t>黑河水源地能力提升项目(黑河水源地应急监控预警系统提升)</w:t>
      </w:r>
    </w:p>
    <w:p w14:paraId="6C134D89">
      <w:pPr>
        <w:pStyle w:val="6"/>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(以最终签订合同为准)</w:t>
      </w:r>
    </w:p>
    <w:p w14:paraId="205742AE">
      <w:pPr>
        <w:rPr>
          <w:rFonts w:hint="eastAsia" w:ascii="仿宋" w:hAnsi="仿宋" w:eastAsia="仿宋" w:cs="仿宋"/>
        </w:rPr>
      </w:pPr>
    </w:p>
    <w:p w14:paraId="49F84DAC">
      <w:pPr>
        <w:rPr>
          <w:rFonts w:hint="eastAsia" w:ascii="仿宋" w:hAnsi="仿宋" w:eastAsia="仿宋" w:cs="仿宋"/>
          <w:color w:val="000000"/>
          <w:highlight w:val="none"/>
        </w:rPr>
      </w:pPr>
    </w:p>
    <w:p w14:paraId="4A7A9A51">
      <w:pPr>
        <w:rPr>
          <w:rFonts w:hint="eastAsia" w:ascii="仿宋" w:hAnsi="仿宋" w:eastAsia="仿宋" w:cs="仿宋"/>
          <w:color w:val="000000"/>
          <w:highlight w:val="none"/>
        </w:rPr>
      </w:pPr>
    </w:p>
    <w:p w14:paraId="269D6953">
      <w:pPr>
        <w:rPr>
          <w:rFonts w:hint="eastAsia" w:ascii="仿宋" w:hAnsi="仿宋" w:eastAsia="仿宋" w:cs="仿宋"/>
          <w:color w:val="000000"/>
          <w:highlight w:val="none"/>
        </w:rPr>
      </w:pPr>
    </w:p>
    <w:p w14:paraId="59F23A20">
      <w:pPr>
        <w:rPr>
          <w:rFonts w:hint="eastAsia" w:ascii="仿宋" w:hAnsi="仿宋" w:eastAsia="仿宋" w:cs="仿宋"/>
          <w:color w:val="000000"/>
          <w:highlight w:val="none"/>
        </w:rPr>
      </w:pPr>
    </w:p>
    <w:p w14:paraId="512F20DC">
      <w:pPr>
        <w:rPr>
          <w:rFonts w:hint="eastAsia" w:ascii="仿宋" w:hAnsi="仿宋" w:eastAsia="仿宋" w:cs="仿宋"/>
          <w:color w:val="000000"/>
          <w:highlight w:val="none"/>
        </w:rPr>
      </w:pPr>
    </w:p>
    <w:p w14:paraId="02BB3F7A">
      <w:pPr>
        <w:rPr>
          <w:rFonts w:hint="eastAsia" w:ascii="仿宋" w:hAnsi="仿宋" w:eastAsia="仿宋" w:cs="仿宋"/>
          <w:color w:val="000000"/>
          <w:highlight w:val="none"/>
        </w:rPr>
      </w:pPr>
    </w:p>
    <w:p w14:paraId="55CF4B92">
      <w:pPr>
        <w:rPr>
          <w:rFonts w:hint="eastAsia" w:ascii="仿宋" w:hAnsi="仿宋" w:eastAsia="仿宋" w:cs="仿宋"/>
          <w:color w:val="000000"/>
          <w:highlight w:val="none"/>
        </w:rPr>
      </w:pPr>
    </w:p>
    <w:p w14:paraId="69A56BB0">
      <w:pPr>
        <w:pStyle w:val="6"/>
        <w:rPr>
          <w:rFonts w:hint="eastAsia" w:ascii="仿宋" w:hAnsi="仿宋" w:eastAsia="仿宋" w:cs="仿宋"/>
        </w:rPr>
      </w:pPr>
    </w:p>
    <w:p w14:paraId="05E6B02B">
      <w:pPr>
        <w:rPr>
          <w:rFonts w:hint="eastAsia" w:ascii="仿宋" w:hAnsi="仿宋" w:eastAsia="仿宋" w:cs="仿宋"/>
          <w:color w:val="000000"/>
          <w:highlight w:val="none"/>
        </w:rPr>
      </w:pPr>
    </w:p>
    <w:p w14:paraId="1E6610C7">
      <w:pPr>
        <w:rPr>
          <w:rFonts w:hint="eastAsia" w:ascii="仿宋" w:hAnsi="仿宋" w:eastAsia="仿宋" w:cs="仿宋"/>
          <w:color w:val="000000"/>
          <w:highlight w:val="none"/>
        </w:rPr>
      </w:pPr>
    </w:p>
    <w:p w14:paraId="15542ACA">
      <w:pPr>
        <w:rPr>
          <w:rFonts w:hint="eastAsia" w:ascii="仿宋" w:hAnsi="仿宋" w:eastAsia="仿宋" w:cs="仿宋"/>
          <w:color w:val="000000"/>
          <w:highlight w:val="none"/>
        </w:rPr>
      </w:pPr>
    </w:p>
    <w:p w14:paraId="07072B58">
      <w:pPr>
        <w:widowControl/>
        <w:snapToGrid w:val="0"/>
        <w:spacing w:line="720" w:lineRule="auto"/>
        <w:ind w:firstLine="750" w:firstLineChars="250"/>
        <w:jc w:val="left"/>
        <w:outlineLvl w:val="0"/>
        <w:rPr>
          <w:rFonts w:hint="eastAsia" w:ascii="仿宋" w:hAnsi="仿宋" w:eastAsia="仿宋" w:cs="仿宋"/>
          <w:bCs/>
          <w:color w:val="000000"/>
          <w:spacing w:val="-6"/>
          <w:sz w:val="30"/>
          <w:szCs w:val="30"/>
          <w:highlight w:val="none"/>
          <w:u w:val="single"/>
          <w:lang w:val="en-US" w:eastAsia="zh-CN"/>
        </w:rPr>
      </w:pPr>
      <w:bookmarkStart w:id="1" w:name="_Toc16919"/>
      <w:r>
        <w:rPr>
          <w:rFonts w:hint="eastAsia" w:ascii="仿宋" w:hAnsi="仿宋" w:eastAsia="仿宋" w:cs="仿宋"/>
          <w:bCs/>
          <w:color w:val="000000"/>
          <w:sz w:val="30"/>
          <w:szCs w:val="30"/>
          <w:highlight w:val="none"/>
        </w:rPr>
        <w:t>发包人：</w:t>
      </w:r>
      <w:r>
        <w:rPr>
          <w:rFonts w:hint="eastAsia" w:ascii="仿宋" w:hAnsi="仿宋" w:eastAsia="仿宋" w:cs="仿宋"/>
          <w:bCs/>
          <w:color w:val="000000"/>
          <w:sz w:val="30"/>
          <w:szCs w:val="30"/>
          <w:highlight w:val="none"/>
          <w:u w:val="single"/>
        </w:rPr>
        <w:t xml:space="preserve">  西安市黑河水源地环境保护管理总站</w:t>
      </w:r>
      <w:r>
        <w:rPr>
          <w:rFonts w:hint="eastAsia" w:ascii="仿宋" w:hAnsi="仿宋" w:eastAsia="仿宋" w:cs="仿宋"/>
          <w:bCs/>
          <w:color w:val="000000"/>
          <w:spacing w:val="-6"/>
          <w:sz w:val="30"/>
          <w:szCs w:val="30"/>
          <w:highlight w:val="none"/>
          <w:u w:val="single"/>
          <w:lang w:val="en-US" w:eastAsia="zh-CN"/>
        </w:rPr>
        <w:t xml:space="preserve"> </w:t>
      </w:r>
      <w:bookmarkEnd w:id="1"/>
    </w:p>
    <w:p w14:paraId="24658DBD">
      <w:pPr>
        <w:widowControl/>
        <w:snapToGrid w:val="0"/>
        <w:spacing w:line="720" w:lineRule="auto"/>
        <w:ind w:firstLine="750" w:firstLineChars="250"/>
        <w:jc w:val="left"/>
        <w:outlineLvl w:val="0"/>
        <w:rPr>
          <w:rFonts w:hint="eastAsia" w:ascii="仿宋" w:hAnsi="仿宋" w:eastAsia="仿宋" w:cs="仿宋"/>
          <w:bCs/>
          <w:color w:val="000000"/>
          <w:sz w:val="30"/>
          <w:szCs w:val="30"/>
          <w:highlight w:val="none"/>
          <w:u w:val="single"/>
        </w:rPr>
      </w:pPr>
      <w:bookmarkStart w:id="2" w:name="_Toc16680"/>
      <w:r>
        <w:rPr>
          <w:rFonts w:hint="eastAsia" w:ascii="仿宋" w:hAnsi="仿宋" w:eastAsia="仿宋" w:cs="仿宋"/>
          <w:bCs/>
          <w:color w:val="000000"/>
          <w:sz w:val="30"/>
          <w:szCs w:val="30"/>
          <w:highlight w:val="none"/>
        </w:rPr>
        <w:t xml:space="preserve">承包人： </w:t>
      </w:r>
      <w:r>
        <w:rPr>
          <w:rFonts w:hint="eastAsia" w:ascii="仿宋" w:hAnsi="仿宋" w:eastAsia="仿宋" w:cs="仿宋"/>
          <w:bCs/>
          <w:color w:val="000000"/>
          <w:sz w:val="30"/>
          <w:szCs w:val="30"/>
          <w:highlight w:val="none"/>
          <w:u w:val="single"/>
        </w:rPr>
        <w:t xml:space="preserve">                     </w:t>
      </w:r>
      <w:r>
        <w:rPr>
          <w:rFonts w:hint="eastAsia" w:ascii="仿宋" w:hAnsi="仿宋" w:eastAsia="仿宋" w:cs="仿宋"/>
          <w:bCs/>
          <w:color w:val="000000"/>
          <w:sz w:val="30"/>
          <w:szCs w:val="30"/>
          <w:highlight w:val="none"/>
          <w:u w:val="single"/>
          <w:lang w:val="en-US" w:eastAsia="zh-CN"/>
        </w:rPr>
        <w:t xml:space="preserve">  </w:t>
      </w:r>
      <w:r>
        <w:rPr>
          <w:rFonts w:hint="eastAsia" w:ascii="仿宋" w:hAnsi="仿宋" w:eastAsia="仿宋" w:cs="仿宋"/>
          <w:bCs/>
          <w:color w:val="000000"/>
          <w:sz w:val="30"/>
          <w:szCs w:val="30"/>
          <w:highlight w:val="none"/>
          <w:u w:val="single"/>
        </w:rPr>
        <w:t xml:space="preserve">  </w:t>
      </w:r>
      <w:r>
        <w:rPr>
          <w:rFonts w:hint="eastAsia" w:ascii="仿宋" w:hAnsi="仿宋" w:eastAsia="仿宋" w:cs="仿宋"/>
          <w:bCs/>
          <w:color w:val="000000"/>
          <w:sz w:val="30"/>
          <w:szCs w:val="30"/>
          <w:highlight w:val="none"/>
          <w:u w:val="single"/>
          <w:lang w:val="en-US" w:eastAsia="zh-CN"/>
        </w:rPr>
        <w:t xml:space="preserve">         </w:t>
      </w:r>
      <w:bookmarkEnd w:id="2"/>
    </w:p>
    <w:p w14:paraId="27E04A5B">
      <w:pPr>
        <w:rPr>
          <w:rFonts w:hint="eastAsia" w:ascii="仿宋" w:hAnsi="仿宋" w:eastAsia="仿宋" w:cs="仿宋"/>
          <w:highlight w:val="none"/>
        </w:rPr>
      </w:pPr>
    </w:p>
    <w:p w14:paraId="7AB4AAA0">
      <w:pPr>
        <w:widowControl/>
        <w:snapToGrid w:val="0"/>
        <w:spacing w:line="360" w:lineRule="auto"/>
        <w:ind w:firstLine="2560" w:firstLineChars="850"/>
        <w:jc w:val="left"/>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合同签订日期：20</w:t>
      </w:r>
      <w:r>
        <w:rPr>
          <w:rFonts w:hint="eastAsia" w:ascii="仿宋" w:hAnsi="仿宋" w:eastAsia="仿宋" w:cs="仿宋"/>
          <w:b/>
          <w:color w:val="000000"/>
          <w:sz w:val="30"/>
          <w:szCs w:val="30"/>
          <w:highlight w:val="none"/>
          <w:lang w:val="en-US" w:eastAsia="zh-CN"/>
        </w:rPr>
        <w:t>26</w:t>
      </w:r>
      <w:r>
        <w:rPr>
          <w:rFonts w:hint="eastAsia" w:ascii="仿宋" w:hAnsi="仿宋" w:eastAsia="仿宋" w:cs="仿宋"/>
          <w:b/>
          <w:color w:val="000000"/>
          <w:sz w:val="30"/>
          <w:szCs w:val="30"/>
          <w:highlight w:val="none"/>
        </w:rPr>
        <w:t>年  月   日</w:t>
      </w:r>
    </w:p>
    <w:p w14:paraId="0352B5FC">
      <w:pPr>
        <w:spacing w:line="720" w:lineRule="auto"/>
        <w:jc w:val="center"/>
        <w:rPr>
          <w:rFonts w:hint="eastAsia" w:ascii="仿宋" w:hAnsi="仿宋" w:eastAsia="仿宋" w:cs="仿宋"/>
          <w:b/>
          <w:bCs/>
          <w:color w:val="000000"/>
          <w:kern w:val="0"/>
          <w:sz w:val="40"/>
          <w:szCs w:val="40"/>
          <w:highlight w:val="none"/>
          <w:lang w:eastAsia="zh-CN"/>
        </w:rPr>
      </w:pPr>
    </w:p>
    <w:p w14:paraId="34FAB0F7">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14:paraId="41127E4E">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甲方（发包方）：</w:t>
      </w:r>
    </w:p>
    <w:p w14:paraId="3F12C46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490A2C9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29531E1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乙方（承包方）：</w:t>
      </w:r>
    </w:p>
    <w:p w14:paraId="639A7E0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0B82F5D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13B40D8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依据《中华人民共和国民法典》及相关法律法规，甲乙双方本着平等自愿、公平诚信、权责对等的原则，就黑河水源地能力提升项目(黑河水源地应急监控预警系统提升)（工程名称）事宜，经协商一致，订立本合同，以资共同信守。</w:t>
      </w:r>
    </w:p>
    <w:p w14:paraId="4237537D">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一、工程概况</w:t>
      </w:r>
    </w:p>
    <w:p w14:paraId="320826A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工程名称：黑河水源地能力提升项目(黑河水源地应急监控预警系统提升)</w:t>
      </w:r>
    </w:p>
    <w:p w14:paraId="0A70E553">
      <w:pPr>
        <w:pStyle w:val="13"/>
        <w:spacing w:line="360" w:lineRule="auto"/>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kern w:val="0"/>
          <w:sz w:val="24"/>
          <w:szCs w:val="24"/>
          <w:lang w:val="en-US" w:eastAsia="zh-CN" w:bidi="ar"/>
        </w:rPr>
        <w:t>2. 工程地点：西安市黑河水源地环境保护区域内</w:t>
      </w:r>
    </w:p>
    <w:p w14:paraId="7208E0BD">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 工程内容：</w:t>
      </w:r>
    </w:p>
    <w:p w14:paraId="385A1842">
      <w:pPr>
        <w:keepNext w:val="0"/>
        <w:keepLines w:val="0"/>
        <w:widowControl/>
        <w:suppressLineNumbers w:val="0"/>
        <w:spacing w:line="360" w:lineRule="auto"/>
        <w:ind w:firstLine="480" w:firstLineChars="20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本次提升主要针对2010年以来服役久的监控预警设施进行提升改造，内容有提升25处前端河道监控预警能力和6处水质监测站网络覆盖优化，并扩充供电容量；新建7处前端监控宣传装置、涵盖17处通信链路勘察、对接、调测；提升10处骨干中继通信链路带宽，要求骨干链路满足至少100路高清视频通信传输和水质监测数据传输能力，与其对接；建设水源地车辆护送模块，实现对穿越水源地车辆和人员的记录、检索、分析功能；搭建应急移动执法系统，并与中继骨干链路对接回传，融合已建智慧综合平台，实现远程调度指挥和宣传；建设AI算法，进行训练和策略管理，使其达到精准识别事件能力，并融合综合平台；实现大屏、PC端、APP端联动，对预警事件，统一分析、指挥、调度。本次建设要兼顾政务上云相关要求，符合国家信创要求，涉及对接、迁移政务云相关业务。</w:t>
      </w:r>
    </w:p>
    <w:p w14:paraId="0B870E02">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工期：自______年____月____日起至______年____月____日止，总工期______天；若因甲方原因、不可抗力或乙方合理申请，工期可相应顺延（顺延需双方书面确认）。</w:t>
      </w:r>
    </w:p>
    <w:p w14:paraId="58C75910">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二、工程价款及支付方式</w:t>
      </w:r>
    </w:p>
    <w:p w14:paraId="449C59C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工程总价款：人民币__________元（大写：________________________），该价款已包含人工、材料、机械、设备、仓储、</w:t>
      </w:r>
      <w:bookmarkStart w:id="35" w:name="_GoBack"/>
      <w:bookmarkEnd w:id="35"/>
      <w:r>
        <w:rPr>
          <w:rFonts w:hint="eastAsia" w:ascii="仿宋" w:hAnsi="仿宋" w:eastAsia="仿宋" w:cs="仿宋"/>
          <w:kern w:val="0"/>
          <w:sz w:val="24"/>
          <w:szCs w:val="24"/>
          <w:lang w:val="en-US" w:eastAsia="zh-CN" w:bidi="ar"/>
        </w:rPr>
        <w:t>运输、验收等全部相关费用，除双方书面约定外，甲方无需额外支付其他费用。</w:t>
      </w:r>
    </w:p>
    <w:p w14:paraId="42B9AB37">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支付方式：</w:t>
      </w:r>
    </w:p>
    <w:p w14:paraId="526E45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1）自合同签订后财政资金下达后支付合同价的40%作为预付款；</w:t>
      </w:r>
    </w:p>
    <w:p w14:paraId="50173BF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（2）工程完工竣工验收合格后支付至合同价的70%；</w:t>
      </w:r>
    </w:p>
    <w:p w14:paraId="56F3980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（3）工程审计完成后支付至审计后金额的97%；</w:t>
      </w:r>
    </w:p>
    <w:p w14:paraId="4ADD0C8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kern w:val="0"/>
          <w:sz w:val="24"/>
          <w:szCs w:val="24"/>
          <w:lang w:val="en-US" w:eastAsia="zh-CN" w:bidi="ar"/>
        </w:rPr>
      </w:pPr>
      <w:r>
        <w:rPr>
          <w:rFonts w:hint="eastAsia" w:ascii="仿宋" w:hAnsi="仿宋" w:eastAsia="仿宋" w:cs="仿宋"/>
          <w:color w:val="auto"/>
          <w:sz w:val="24"/>
          <w:szCs w:val="24"/>
          <w:lang w:val="en-US" w:eastAsia="zh-CN"/>
        </w:rPr>
        <w:t>（4）留审计后金额的3%，在缺陷责任期满且验收合格后一次性无息付清；</w:t>
      </w:r>
    </w:p>
    <w:p w14:paraId="4ACEAB72">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乙方需在甲方付款前，提供合法有效的收款凭证，否则甲方有权顺延付款，且不承担逾期付款责任。</w:t>
      </w:r>
    </w:p>
    <w:p w14:paraId="142FE0E3">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三、双方权责</w:t>
      </w:r>
    </w:p>
    <w:p w14:paraId="45E02D39">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（一）甲方权责</w:t>
      </w:r>
    </w:p>
    <w:p w14:paraId="2E98A6BB">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按合同约定及时支付工程价款，配合乙方协调施工过程中的相关事宜；</w:t>
      </w:r>
    </w:p>
    <w:p w14:paraId="78DD703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负责组织工程竣工验收，验收合格后出具验收确认单。</w:t>
      </w:r>
    </w:p>
    <w:p w14:paraId="6B060AB4">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（二）乙方权责</w:t>
      </w:r>
    </w:p>
    <w:p w14:paraId="5E121AD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严格按照合同约定及相关规范要求施工，保证工程质量，达到国家或行业合格标准；</w:t>
      </w:r>
    </w:p>
    <w:p w14:paraId="37B2A9C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负责施工过程中的安全管理，承担施工人员安全、施工设备安全及施工现场安全责任，若发生安全事故，由乙方承担全部损失；</w:t>
      </w:r>
    </w:p>
    <w:p w14:paraId="717B809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按时完成施工任务，如需顺延工期，需提前______日书面通知甲方，经甲方确认后方可顺延；</w:t>
      </w:r>
    </w:p>
    <w:p w14:paraId="0D3A24B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工程完工后，及时通知甲方进行验收，并提供完整的施工资料。</w:t>
      </w:r>
    </w:p>
    <w:p w14:paraId="2969CA19">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四、工程质量与验收</w:t>
      </w:r>
    </w:p>
    <w:p w14:paraId="7BA6440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乙方施工需符合国家及行业相关施工规范、质量标准，确保工程无质量隐患；</w:t>
      </w:r>
    </w:p>
    <w:p w14:paraId="3AD4DFA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工程完工后，乙方提交验收申请，甲方应在______日内组织验收，验收合格的，双方签署验收确认单；验收不合格的，乙方需在甲方指定期限内整改，整改费用由乙方承担，工期不予顺延。</w:t>
      </w:r>
    </w:p>
    <w:p w14:paraId="797B8445">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五、违约责任</w:t>
      </w:r>
    </w:p>
    <w:p w14:paraId="657F9D7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甲方逾期支付工程价款的，每逾期一日，按逾期金额的______‰向乙方支付违约金；逾期超过______日，乙方有权暂停施工，由此造成的损失由甲方承担。</w:t>
      </w:r>
    </w:p>
    <w:p w14:paraId="545DBB58">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乙方未按合同约定工期完工的，每逾期一日，按工程总价款的______‰向甲方支付违约金；逾期超过______日，甲方有权解除合同，乙方需退还甲方已支付的全部款项，并赔偿甲方相应损失。</w:t>
      </w:r>
    </w:p>
    <w:p w14:paraId="6AD5A1C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乙方施工工程质量不合格，经整改后仍不合格的，甲方有权解除合同，乙方需承担工程总价款______%的违约金，并赔偿甲方损失。</w:t>
      </w:r>
    </w:p>
    <w:p w14:paraId="2CB328FA">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六、不可抗力</w:t>
      </w:r>
    </w:p>
    <w:p w14:paraId="18FEDA2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因地震、台风、洪水、战争等不可抗力因素导致本合同无法履行或延迟履行的，遭遇不可抗力一方应及时通知对方，并在不可抗力发生后______日内提供相关证明，双方根据不可抗力影响程度，协商解除合同、免除部分责任或顺延工期。</w:t>
      </w:r>
    </w:p>
    <w:p w14:paraId="55423C32">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七、争议解决</w:t>
      </w:r>
    </w:p>
    <w:p w14:paraId="6512F9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本合同履行过程中发生的争议，双方应首先协商解决；协商不成的，任何一方均有权向__________（工程所在地/甲方所在地/乙方所在地）人民法院提起诉讼。</w:t>
      </w:r>
    </w:p>
    <w:p w14:paraId="165D0D66">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八、其他</w:t>
      </w:r>
    </w:p>
    <w:p w14:paraId="7FB9CA5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本合同自双方签字盖章之日起生效，一式两份，甲乙双方各执一份，具有同等法律效力；</w:t>
      </w:r>
    </w:p>
    <w:p w14:paraId="015AB6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本合同未尽事宜，双方可另行签订补充协议，补充协议与本合同具有同等法律效力；</w:t>
      </w:r>
    </w:p>
    <w:p w14:paraId="390ACB7F">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双方的联系地址、联系电话作为本合同的有效送达地址，任何一方变更联系方式，应提前______日书面通知对方，否则因此产生的送达不能、延误等后果由变更方承担。</w:t>
      </w:r>
    </w:p>
    <w:p w14:paraId="03443EC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（以下无正文）</w:t>
      </w:r>
    </w:p>
    <w:p w14:paraId="4E0185DF">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甲方（签字/盖章）：                        乙方（签字/盖章）：</w:t>
      </w:r>
    </w:p>
    <w:p w14:paraId="28FAA693">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p>
    <w:p w14:paraId="1F0E26B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签订日期：   年   月   日                  签订日期：   年   月   日</w:t>
      </w:r>
    </w:p>
    <w:p w14:paraId="435BCE6F">
      <w:pPr>
        <w:keepNext w:val="0"/>
        <w:keepLines w:val="0"/>
        <w:widowControl/>
        <w:suppressLineNumbers w:val="0"/>
        <w:jc w:val="left"/>
        <w:rPr>
          <w:rFonts w:hint="eastAsia" w:ascii="仿宋" w:hAnsi="仿宋" w:eastAsia="仿宋" w:cs="仿宋"/>
          <w:lang w:val="en-US"/>
        </w:rPr>
      </w:pPr>
    </w:p>
    <w:p w14:paraId="48690FEA">
      <w:pPr>
        <w:rPr>
          <w:rFonts w:hint="eastAsia" w:ascii="仿宋" w:hAnsi="仿宋" w:eastAsia="仿宋" w:cs="仿宋"/>
          <w:color w:val="000000"/>
          <w:sz w:val="24"/>
          <w:szCs w:val="24"/>
          <w:highlight w:val="none"/>
        </w:rPr>
      </w:pPr>
      <w:bookmarkStart w:id="3" w:name="_Toc13909"/>
      <w:r>
        <w:rPr>
          <w:rFonts w:hint="eastAsia" w:ascii="仿宋" w:hAnsi="仿宋" w:eastAsia="仿宋" w:cs="仿宋"/>
          <w:color w:val="000000"/>
          <w:sz w:val="24"/>
          <w:szCs w:val="24"/>
          <w:highlight w:val="none"/>
        </w:rPr>
        <w:br w:type="page"/>
      </w:r>
    </w:p>
    <w:p w14:paraId="64FF6E09">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w:t>
      </w:r>
      <w:bookmarkStart w:id="4" w:name="_Toc296347231"/>
      <w:bookmarkStart w:id="5" w:name="_Toc267261702"/>
      <w:bookmarkStart w:id="6" w:name="_Toc296891060"/>
      <w:bookmarkStart w:id="7" w:name="_Toc296944571"/>
      <w:bookmarkStart w:id="8" w:name="_Toc296891272"/>
      <w:bookmarkStart w:id="9" w:name="_Toc296503232"/>
      <w:bookmarkStart w:id="10" w:name="_Toc296346733"/>
      <w:r>
        <w:rPr>
          <w:rFonts w:hint="eastAsia" w:ascii="仿宋" w:hAnsi="仿宋" w:eastAsia="仿宋" w:cs="仿宋"/>
          <w:color w:val="000000"/>
          <w:sz w:val="24"/>
          <w:szCs w:val="24"/>
          <w:highlight w:val="none"/>
        </w:rPr>
        <w:t>件1</w:t>
      </w:r>
      <w:bookmarkEnd w:id="3"/>
    </w:p>
    <w:p w14:paraId="0836762A">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施工安全生产责任书</w:t>
      </w:r>
    </w:p>
    <w:p w14:paraId="6B93505F">
      <w:pPr>
        <w:spacing w:line="380" w:lineRule="exact"/>
        <w:ind w:firstLine="480" w:firstLineChars="200"/>
        <w:rPr>
          <w:rFonts w:hint="eastAsia" w:ascii="仿宋" w:hAnsi="仿宋" w:eastAsia="仿宋" w:cs="仿宋"/>
          <w:color w:val="000000"/>
          <w:sz w:val="24"/>
          <w:szCs w:val="24"/>
          <w:highlight w:val="none"/>
        </w:rPr>
      </w:pPr>
    </w:p>
    <w:p w14:paraId="7F58A885">
      <w:pPr>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发包人（甲方）：</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color w:val="000000"/>
          <w:sz w:val="24"/>
          <w:szCs w:val="24"/>
          <w:highlight w:val="none"/>
          <w:u w:val="single"/>
        </w:rPr>
        <w:t xml:space="preserve">                                          </w:t>
      </w:r>
    </w:p>
    <w:p w14:paraId="3DC93592">
      <w:pPr>
        <w:snapToGrid w:val="0"/>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承包人（乙方）：</w:t>
      </w:r>
      <w:r>
        <w:rPr>
          <w:rFonts w:hint="eastAsia" w:ascii="仿宋" w:hAnsi="仿宋" w:eastAsia="仿宋" w:cs="仿宋"/>
          <w:b/>
          <w:color w:val="000000"/>
          <w:sz w:val="24"/>
          <w:szCs w:val="24"/>
          <w:highlight w:val="none"/>
          <w:u w:val="single"/>
        </w:rPr>
        <w:t xml:space="preserve">                                           </w:t>
      </w:r>
    </w:p>
    <w:p w14:paraId="634D84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2EB2B5B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1" w:name="_Toc359913019"/>
      <w:bookmarkStart w:id="12" w:name="_Toc419886958"/>
      <w:r>
        <w:rPr>
          <w:rFonts w:hint="eastAsia" w:ascii="仿宋" w:hAnsi="仿宋" w:eastAsia="仿宋" w:cs="仿宋"/>
          <w:color w:val="000000"/>
          <w:sz w:val="24"/>
          <w:szCs w:val="24"/>
          <w:highlight w:val="none"/>
        </w:rPr>
        <w:t>一、建设工程安全生产管理目标及必须达到的安全事故控制指标</w:t>
      </w:r>
      <w:bookmarkEnd w:id="11"/>
      <w:bookmarkEnd w:id="12"/>
    </w:p>
    <w:p w14:paraId="59CA7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4A0DFD8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1、因工死亡率为零；</w:t>
      </w:r>
    </w:p>
    <w:p w14:paraId="20BA832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2、因工重伤率为零；</w:t>
      </w:r>
    </w:p>
    <w:p w14:paraId="07170C3A">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3、因工轻伤事故率不高于5%；</w:t>
      </w:r>
    </w:p>
    <w:p w14:paraId="731C101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4、不发生损失额1万元以上的机械、设备、交通和火灾事故。</w:t>
      </w:r>
    </w:p>
    <w:p w14:paraId="57772A4D">
      <w:pPr>
        <w:widowControl/>
        <w:snapToGrid w:val="0"/>
        <w:spacing w:line="480" w:lineRule="exact"/>
        <w:ind w:firstLine="480" w:firstLineChars="200"/>
        <w:rPr>
          <w:rFonts w:hint="eastAsia" w:ascii="仿宋" w:hAnsi="仿宋" w:eastAsia="仿宋" w:cs="仿宋"/>
          <w:color w:val="000000"/>
          <w:sz w:val="24"/>
          <w:szCs w:val="24"/>
          <w:highlight w:val="none"/>
        </w:rPr>
      </w:pPr>
      <w:bookmarkStart w:id="13" w:name="_Toc359913020"/>
      <w:bookmarkStart w:id="14" w:name="_Toc419886959"/>
      <w:r>
        <w:rPr>
          <w:rFonts w:hint="eastAsia" w:ascii="仿宋" w:hAnsi="仿宋" w:eastAsia="仿宋" w:cs="仿宋"/>
          <w:color w:val="000000"/>
          <w:sz w:val="24"/>
          <w:szCs w:val="24"/>
          <w:highlight w:val="none"/>
        </w:rPr>
        <w:t>二、本合同有效期限</w:t>
      </w:r>
      <w:bookmarkEnd w:id="13"/>
      <w:bookmarkEnd w:id="14"/>
    </w:p>
    <w:p w14:paraId="02FD25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自承包人入驻施工场地之日起，至工程竣工验收合格交付发包人使用时止。</w:t>
      </w:r>
    </w:p>
    <w:p w14:paraId="0FD00001">
      <w:pPr>
        <w:widowControl/>
        <w:snapToGrid w:val="0"/>
        <w:spacing w:line="480" w:lineRule="exact"/>
        <w:ind w:firstLine="480" w:firstLineChars="200"/>
        <w:rPr>
          <w:rFonts w:hint="eastAsia" w:ascii="仿宋" w:hAnsi="仿宋" w:eastAsia="仿宋" w:cs="仿宋"/>
          <w:color w:val="000000"/>
          <w:sz w:val="24"/>
          <w:szCs w:val="24"/>
          <w:highlight w:val="none"/>
        </w:rPr>
      </w:pPr>
      <w:bookmarkStart w:id="15" w:name="_Toc419886960"/>
      <w:bookmarkStart w:id="16" w:name="_Toc359913021"/>
      <w:r>
        <w:rPr>
          <w:rFonts w:hint="eastAsia" w:ascii="仿宋" w:hAnsi="仿宋" w:eastAsia="仿宋" w:cs="仿宋"/>
          <w:color w:val="000000"/>
          <w:sz w:val="24"/>
          <w:szCs w:val="24"/>
          <w:highlight w:val="none"/>
        </w:rPr>
        <w:t>三、发包人的安全生产管理权利</w:t>
      </w:r>
      <w:bookmarkEnd w:id="15"/>
      <w:bookmarkEnd w:id="16"/>
    </w:p>
    <w:p w14:paraId="14B79E6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1、监督检查承包人的各项安全生产工作，对建筑工地现场实施日常检查和定期、不定期的巡查。</w:t>
      </w:r>
    </w:p>
    <w:p w14:paraId="05FD018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2、在实施检查、巡查过程中，发现建设工程存在安全事故隐患的，有权要求承包人暂时停止施工进行整改，直至消除安全事故隐患。</w:t>
      </w:r>
    </w:p>
    <w:p w14:paraId="05BB08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3、查阅与检查、巡查事项有关的文件、资料。并可根据实际情况，对施工现场进行检测、拍照、录音、摄像等。</w:t>
      </w:r>
    </w:p>
    <w:p w14:paraId="7EF6E2E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4、承包人违反安全生产约定或规定时，发包人有权要求其支付违约金，并承担其他违约责任。</w:t>
      </w:r>
    </w:p>
    <w:p w14:paraId="666C4C16">
      <w:pPr>
        <w:widowControl/>
        <w:snapToGrid w:val="0"/>
        <w:spacing w:line="480" w:lineRule="exact"/>
        <w:ind w:firstLine="480" w:firstLineChars="200"/>
        <w:rPr>
          <w:rFonts w:hint="eastAsia" w:ascii="仿宋" w:hAnsi="仿宋" w:eastAsia="仿宋" w:cs="仿宋"/>
          <w:color w:val="000000"/>
          <w:sz w:val="24"/>
          <w:szCs w:val="24"/>
          <w:highlight w:val="none"/>
        </w:rPr>
      </w:pPr>
      <w:bookmarkStart w:id="17" w:name="_Toc359913022"/>
      <w:bookmarkStart w:id="18" w:name="_Toc419886961"/>
      <w:r>
        <w:rPr>
          <w:rFonts w:hint="eastAsia" w:ascii="仿宋" w:hAnsi="仿宋" w:eastAsia="仿宋" w:cs="仿宋"/>
          <w:color w:val="000000"/>
          <w:sz w:val="24"/>
          <w:szCs w:val="24"/>
          <w:highlight w:val="none"/>
        </w:rPr>
        <w:t>四、发包人的安全生产管理义务</w:t>
      </w:r>
      <w:bookmarkEnd w:id="17"/>
      <w:bookmarkEnd w:id="18"/>
    </w:p>
    <w:p w14:paraId="5652D93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1、发包人不得对承包人提出不符合建设工程安全生产法律、法规和强制性标准的要求。</w:t>
      </w:r>
    </w:p>
    <w:p w14:paraId="70D454A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2、发包人不得明示或暗示承包人购买、租赁、使用不符合安全施工要求的安全防护用具、机械设备、施工机具及配件、消防设施和器材。</w:t>
      </w:r>
    </w:p>
    <w:p w14:paraId="13DD102D">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3、对承包人施工现场采取的安全施工技术措施，根据承包人的请求，提供必要的协助。</w:t>
      </w:r>
    </w:p>
    <w:p w14:paraId="0062F7A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9" w:name="_Toc419886962"/>
      <w:bookmarkStart w:id="20" w:name="_Toc359913023"/>
      <w:r>
        <w:rPr>
          <w:rFonts w:hint="eastAsia" w:ascii="仿宋" w:hAnsi="仿宋" w:eastAsia="仿宋" w:cs="仿宋"/>
          <w:color w:val="000000"/>
          <w:sz w:val="24"/>
          <w:szCs w:val="24"/>
          <w:highlight w:val="none"/>
        </w:rPr>
        <w:t>五、承包人的安全生产责任与义务</w:t>
      </w:r>
      <w:bookmarkEnd w:id="19"/>
      <w:bookmarkEnd w:id="20"/>
    </w:p>
    <w:p w14:paraId="38C94556">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1、承包人应当在其资质等级许可范围内，并具备安全生产许可证的条件下承揽工程。</w:t>
      </w:r>
    </w:p>
    <w:p w14:paraId="20785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EA9D7A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3、建立、健全与落实安全生产责任制度、安全生产教育培训制度、安全生产规章制度和操作规程。</w:t>
      </w:r>
    </w:p>
    <w:p w14:paraId="60E98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4、设立安全生产管理机构，配备专职安全生产管理人员。</w:t>
      </w:r>
    </w:p>
    <w:p w14:paraId="39ABC46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64500E8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6、随时接受发包人实施的安全检查、巡查、并按照发包人的要求进行整改，消除安全事故隐患，确保安全生产。</w:t>
      </w:r>
    </w:p>
    <w:p w14:paraId="271B1CD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7、承包人应当在施工现场入口处、施工起重机械、临时用电设施、脚手架、出入通道口、基坑边沿等危险部位，设置明显的安全警示标志，安全警示标志必须符合国家标准。</w:t>
      </w:r>
    </w:p>
    <w:p w14:paraId="234305F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8、承包人应根据不同施工阶段和周围环境及季节、气候气象的变化，在施工现场采取相应的安全施工措施。确保雨季等特殊气候气象情况下的施工安全。</w:t>
      </w:r>
    </w:p>
    <w:p w14:paraId="4FF244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9、对建设工程施工进行定期和专项安全自检，并做好安全检查记录，及时发现并消除安全生产事故隐患。</w:t>
      </w:r>
    </w:p>
    <w:p w14:paraId="2B2293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10、在施工现场建立消防安全责任制度，确定消防安全责任人，制定用火、用电等各项消防安全管理制度和操作规程。</w:t>
      </w:r>
    </w:p>
    <w:p w14:paraId="64B2515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11、制定实施工程现场生产安全事故应急救援预案，并定期组织演练。</w:t>
      </w:r>
    </w:p>
    <w:p w14:paraId="27A5E5F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12、根据安全生产法律、法规、规章及相关标准、规程的规定，承包人应承担的其它责任与义务。</w:t>
      </w:r>
    </w:p>
    <w:p w14:paraId="1FCC1E58">
      <w:pPr>
        <w:widowControl/>
        <w:snapToGrid w:val="0"/>
        <w:spacing w:line="480" w:lineRule="exact"/>
        <w:ind w:firstLine="480" w:firstLineChars="200"/>
        <w:rPr>
          <w:rFonts w:hint="eastAsia" w:ascii="仿宋" w:hAnsi="仿宋" w:eastAsia="仿宋" w:cs="仿宋"/>
          <w:color w:val="000000"/>
          <w:sz w:val="24"/>
          <w:szCs w:val="24"/>
          <w:highlight w:val="none"/>
        </w:rPr>
      </w:pPr>
      <w:bookmarkStart w:id="21" w:name="_Toc359913024"/>
      <w:bookmarkStart w:id="22" w:name="_Toc419886963"/>
      <w:r>
        <w:rPr>
          <w:rFonts w:hint="eastAsia" w:ascii="仿宋" w:hAnsi="仿宋" w:eastAsia="仿宋" w:cs="仿宋"/>
          <w:color w:val="000000"/>
          <w:sz w:val="24"/>
          <w:szCs w:val="24"/>
          <w:highlight w:val="none"/>
        </w:rPr>
        <w:t>六、现场停工整改约定</w:t>
      </w:r>
      <w:bookmarkEnd w:id="21"/>
      <w:bookmarkEnd w:id="22"/>
    </w:p>
    <w:p w14:paraId="44F6F22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C0015A2">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2、承包人进行整改后，经发包人检查已消除安全事故隐患的，可以进行复工。</w:t>
      </w:r>
    </w:p>
    <w:p w14:paraId="1623BEC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08EF79AD">
      <w:pPr>
        <w:widowControl/>
        <w:snapToGrid w:val="0"/>
        <w:spacing w:line="480" w:lineRule="exact"/>
        <w:ind w:firstLine="480" w:firstLineChars="200"/>
        <w:rPr>
          <w:rFonts w:hint="eastAsia" w:ascii="仿宋" w:hAnsi="仿宋" w:eastAsia="仿宋" w:cs="仿宋"/>
          <w:color w:val="000000"/>
          <w:sz w:val="24"/>
          <w:szCs w:val="24"/>
          <w:highlight w:val="none"/>
        </w:rPr>
      </w:pPr>
      <w:bookmarkStart w:id="23" w:name="_Toc419886964"/>
      <w:bookmarkStart w:id="24" w:name="_Toc359913025"/>
      <w:r>
        <w:rPr>
          <w:rFonts w:hint="eastAsia" w:ascii="仿宋" w:hAnsi="仿宋" w:eastAsia="仿宋" w:cs="仿宋"/>
          <w:color w:val="000000"/>
          <w:sz w:val="24"/>
          <w:szCs w:val="24"/>
          <w:highlight w:val="none"/>
        </w:rPr>
        <w:t>七、安全生产违约责任</w:t>
      </w:r>
      <w:bookmarkEnd w:id="23"/>
      <w:bookmarkEnd w:id="24"/>
    </w:p>
    <w:p w14:paraId="22081BE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066959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投标总价的2%。</w:t>
      </w:r>
    </w:p>
    <w:p w14:paraId="675248A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3、发包人从工程费中扣除一定金额作为违约金时，应当以书面形式通知承包人。其中：</w:t>
      </w:r>
    </w:p>
    <w:p w14:paraId="294BFC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（1）承包人有下列行为之一的，每次违约金金额为按承包人投标总价的1%扣除安全生产保证金。</w:t>
      </w:r>
    </w:p>
    <w:p w14:paraId="55BA99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发生人员死亡的生产安全事故；</w:t>
      </w:r>
    </w:p>
    <w:p w14:paraId="78F0E34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发生人员重伤的生产安全事故。</w:t>
      </w:r>
    </w:p>
    <w:p w14:paraId="47AEA18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（2）承包人有下列行为之一的，每次违约金金额为按承包人投标总价的0.5%扣除安全生产保证金。</w:t>
      </w:r>
    </w:p>
    <w:p w14:paraId="3FF7F6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发生人员轻伤的生产安全事故累计超过三次或一个月内连续发生两次；</w:t>
      </w:r>
    </w:p>
    <w:p w14:paraId="6A7E05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发生1万元以上的机械、设备、交通和火灾生产安全事故。</w:t>
      </w:r>
    </w:p>
    <w:p w14:paraId="4322EF7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4、发包人按本合同约定从工程费中扣除一定金额作为违约金，并不能免除承包人应承担的有关国家机关行政处罚与民事赔偿责任，以及应负的其他法律责任。</w:t>
      </w:r>
    </w:p>
    <w:p w14:paraId="572DB5BB">
      <w:pPr>
        <w:widowControl/>
        <w:snapToGrid w:val="0"/>
        <w:spacing w:line="480" w:lineRule="exact"/>
        <w:ind w:firstLine="480" w:firstLineChars="200"/>
        <w:rPr>
          <w:rFonts w:hint="eastAsia" w:ascii="仿宋" w:hAnsi="仿宋" w:eastAsia="仿宋" w:cs="仿宋"/>
          <w:color w:val="000000"/>
          <w:sz w:val="24"/>
          <w:szCs w:val="24"/>
          <w:highlight w:val="none"/>
        </w:rPr>
      </w:pPr>
      <w:bookmarkStart w:id="25" w:name="_Toc359913026"/>
      <w:bookmarkStart w:id="26" w:name="_Toc419886965"/>
      <w:r>
        <w:rPr>
          <w:rFonts w:hint="eastAsia" w:ascii="仿宋" w:hAnsi="仿宋" w:eastAsia="仿宋" w:cs="仿宋"/>
          <w:color w:val="000000"/>
          <w:sz w:val="24"/>
          <w:szCs w:val="24"/>
          <w:highlight w:val="none"/>
        </w:rPr>
        <w:t>八、附则</w:t>
      </w:r>
      <w:bookmarkEnd w:id="25"/>
      <w:bookmarkEnd w:id="26"/>
    </w:p>
    <w:p w14:paraId="59CBCE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1、本合同自各方签字、盖章、后即生效。</w:t>
      </w:r>
    </w:p>
    <w:p w14:paraId="4CDCE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2、本合同同合同份数相同，具有同等法律效力。</w:t>
      </w:r>
    </w:p>
    <w:p w14:paraId="5C9BE38A">
      <w:pPr>
        <w:pStyle w:val="7"/>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63D01730">
      <w:pPr>
        <w:pStyle w:val="7"/>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7816D431">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56267652">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F2A510D">
      <w:pPr>
        <w:widowControl/>
        <w:tabs>
          <w:tab w:val="left" w:pos="0"/>
        </w:tabs>
        <w:spacing w:line="390" w:lineRule="exac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3264DD0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281EDCA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6D4FB114">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6B17BE">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DF8A69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84042D">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7856ECF6">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E21A0F2">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bookmarkEnd w:id="4"/>
    <w:bookmarkEnd w:id="5"/>
    <w:bookmarkEnd w:id="6"/>
    <w:bookmarkEnd w:id="7"/>
    <w:bookmarkEnd w:id="8"/>
    <w:bookmarkEnd w:id="9"/>
    <w:bookmarkEnd w:id="10"/>
    <w:p w14:paraId="0450DE3D">
      <w:pPr>
        <w:spacing w:line="440" w:lineRule="exact"/>
        <w:outlineLvl w:val="0"/>
        <w:rPr>
          <w:rFonts w:hint="eastAsia" w:ascii="仿宋" w:hAnsi="仿宋" w:eastAsia="仿宋" w:cs="仿宋"/>
          <w:color w:val="000000"/>
          <w:sz w:val="24"/>
          <w:szCs w:val="24"/>
          <w:highlight w:val="none"/>
        </w:rPr>
      </w:pPr>
      <w:bookmarkStart w:id="27" w:name="_Toc26012"/>
    </w:p>
    <w:p w14:paraId="3B6C9376">
      <w:pPr>
        <w:spacing w:line="440" w:lineRule="exact"/>
        <w:outlineLvl w:val="0"/>
        <w:rPr>
          <w:rFonts w:hint="eastAsia" w:ascii="仿宋" w:hAnsi="仿宋" w:eastAsia="仿宋" w:cs="仿宋"/>
          <w:color w:val="000000"/>
          <w:sz w:val="24"/>
          <w:szCs w:val="24"/>
          <w:highlight w:val="none"/>
        </w:rPr>
      </w:pPr>
    </w:p>
    <w:p w14:paraId="0D7ABDC5">
      <w:pPr>
        <w:spacing w:line="440" w:lineRule="exact"/>
        <w:outlineLvl w:val="0"/>
        <w:rPr>
          <w:rFonts w:hint="eastAsia" w:ascii="仿宋" w:hAnsi="仿宋" w:eastAsia="仿宋" w:cs="仿宋"/>
          <w:color w:val="000000"/>
          <w:sz w:val="24"/>
          <w:szCs w:val="24"/>
          <w:highlight w:val="none"/>
        </w:rPr>
      </w:pPr>
    </w:p>
    <w:p w14:paraId="07946207">
      <w:pPr>
        <w:spacing w:line="440" w:lineRule="exact"/>
        <w:outlineLvl w:val="0"/>
        <w:rPr>
          <w:rFonts w:hint="eastAsia" w:ascii="仿宋" w:hAnsi="仿宋" w:eastAsia="仿宋" w:cs="仿宋"/>
          <w:color w:val="000000"/>
          <w:sz w:val="24"/>
          <w:szCs w:val="24"/>
          <w:highlight w:val="none"/>
        </w:rPr>
      </w:pPr>
    </w:p>
    <w:p w14:paraId="2849FEF2">
      <w:pPr>
        <w:spacing w:line="440" w:lineRule="exact"/>
        <w:outlineLvl w:val="0"/>
        <w:rPr>
          <w:rFonts w:hint="eastAsia" w:ascii="仿宋" w:hAnsi="仿宋" w:eastAsia="仿宋" w:cs="仿宋"/>
          <w:color w:val="000000"/>
          <w:sz w:val="24"/>
          <w:szCs w:val="24"/>
          <w:highlight w:val="none"/>
        </w:rPr>
      </w:pPr>
    </w:p>
    <w:p w14:paraId="5FCD0196">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附</w:t>
      </w:r>
      <w:bookmarkStart w:id="28" w:name="_Toc296347232"/>
      <w:bookmarkStart w:id="29" w:name="_Toc296944572"/>
      <w:bookmarkStart w:id="30" w:name="_Toc296891061"/>
      <w:bookmarkStart w:id="31" w:name="_Toc296346734"/>
      <w:bookmarkStart w:id="32" w:name="_Toc296891273"/>
      <w:bookmarkStart w:id="33" w:name="_Toc296503233"/>
      <w:r>
        <w:rPr>
          <w:rFonts w:hint="eastAsia" w:ascii="仿宋" w:hAnsi="仿宋" w:eastAsia="仿宋" w:cs="仿宋"/>
          <w:color w:val="000000"/>
          <w:sz w:val="24"/>
          <w:szCs w:val="24"/>
          <w:highlight w:val="none"/>
        </w:rPr>
        <w:t>件2:</w:t>
      </w:r>
      <w:bookmarkEnd w:id="27"/>
      <w:r>
        <w:rPr>
          <w:rFonts w:hint="eastAsia" w:ascii="仿宋" w:hAnsi="仿宋" w:eastAsia="仿宋" w:cs="仿宋"/>
          <w:color w:val="000000"/>
          <w:sz w:val="24"/>
          <w:szCs w:val="24"/>
          <w:highlight w:val="none"/>
        </w:rPr>
        <w:t xml:space="preserve">  </w:t>
      </w:r>
    </w:p>
    <w:bookmarkEnd w:id="28"/>
    <w:bookmarkEnd w:id="29"/>
    <w:bookmarkEnd w:id="30"/>
    <w:bookmarkEnd w:id="31"/>
    <w:bookmarkEnd w:id="32"/>
    <w:bookmarkEnd w:id="33"/>
    <w:p w14:paraId="5C80E855">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工程建设项目廉政合同书</w:t>
      </w:r>
    </w:p>
    <w:p w14:paraId="41C2FEB3">
      <w:pPr>
        <w:adjustRightInd w:val="0"/>
        <w:snapToGrid w:val="0"/>
        <w:spacing w:line="360" w:lineRule="auto"/>
        <w:rPr>
          <w:rFonts w:hint="eastAsia" w:ascii="仿宋" w:hAnsi="仿宋" w:eastAsia="仿宋" w:cs="仿宋"/>
          <w:color w:val="000000"/>
          <w:sz w:val="24"/>
          <w:szCs w:val="24"/>
          <w:highlight w:val="none"/>
        </w:rPr>
      </w:pPr>
    </w:p>
    <w:p w14:paraId="2A9ECBA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rPr>
        <w:t>（以下简称发包人)与</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（以下简称承包人)，特签订本廉政合同书。</w:t>
      </w:r>
    </w:p>
    <w:p w14:paraId="797C29CF">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第一条：各方的权利和义务</w:t>
      </w:r>
    </w:p>
    <w:p w14:paraId="0E36FFEC">
      <w:pPr>
        <w:pStyle w:val="7"/>
        <w:spacing w:before="156" w:beforeLines="50" w:after="156" w:afterLines="50" w:line="500" w:lineRule="atLeas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各方同意并声明，在业务活动中：</w:t>
      </w:r>
    </w:p>
    <w:p w14:paraId="0F4AE7D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441992AA">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(二)各方的业务活动坚持公开、公正、诚信的原则(除法律认定的商业秘密和合同文件另有规定之外)，严格、自觉按照合同办事，不得损害国家和甲乙各方的利益。</w:t>
      </w:r>
    </w:p>
    <w:p w14:paraId="4A4BB9C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7428E9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17F766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(五)不以损害国家、集体或第三人利益为代价获取不正当的利益。</w:t>
      </w:r>
    </w:p>
    <w:p w14:paraId="6F6C5DC5">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第二条：发包人的承诺</w:t>
      </w:r>
    </w:p>
    <w:p w14:paraId="1C5D497F">
      <w:pPr>
        <w:spacing w:line="500" w:lineRule="atLeast"/>
        <w:ind w:firstLine="480" w:firstLineChars="200"/>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发包人工作人员在工程建设中应遵守如下规定：</w:t>
      </w:r>
    </w:p>
    <w:p w14:paraId="7C9BEA56">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(一)不得索要或接受承包人钱物(现金、有价证券、信用卡、礼金、奖金、补贴、物品等)，不得在承包人报销任何应由发包人或个人支付的费用。</w:t>
      </w:r>
    </w:p>
    <w:p w14:paraId="5FCA484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(二)不得接受承包人安排的可能影响公务的住宿、宴请娱乐及出国（境）、旅游观光活动；不得接受承包人提供的合同规定外的通讯工具、交通工具和高档办公用品等。</w:t>
      </w:r>
    </w:p>
    <w:p w14:paraId="7CD4706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(三)不得要求或者接受承包人为其及家庭成员在住房装修、婚丧嫁娶、配偶子女的工作安排及出国、出境、旅游等方面提供方便。</w:t>
      </w:r>
    </w:p>
    <w:p w14:paraId="110CB05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(四)工作人员及其配偶、子女、亲属不得从事与工程有关的材料设备供应、工程分包、劳务等经济活动。</w:t>
      </w:r>
    </w:p>
    <w:p w14:paraId="39DBCF5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(五)不得违反规定向承包人推荐分包单位和设备、材料</w:t>
      </w:r>
      <w:r>
        <w:rPr>
          <w:rFonts w:hint="eastAsia" w:ascii="仿宋" w:hAnsi="仿宋" w:eastAsia="仿宋" w:cs="仿宋"/>
          <w:color w:val="000000"/>
          <w:sz w:val="24"/>
          <w:szCs w:val="24"/>
          <w:highlight w:val="none"/>
          <w:lang w:eastAsia="zh-CN"/>
        </w:rPr>
        <w:t>投标人</w:t>
      </w:r>
      <w:r>
        <w:rPr>
          <w:rFonts w:hint="eastAsia" w:ascii="仿宋" w:hAnsi="仿宋" w:eastAsia="仿宋" w:cs="仿宋"/>
          <w:color w:val="000000"/>
          <w:sz w:val="24"/>
          <w:szCs w:val="24"/>
          <w:highlight w:val="none"/>
        </w:rPr>
        <w:t>，不得要求承包人购买合同规定外的材料和设备等。</w:t>
      </w:r>
    </w:p>
    <w:p w14:paraId="15ED126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(六)不得为获取承包人回扣或其他谋取私利目的而多签或多算工程量、多结工程款；不得从承包人承包的工程中收受回扣，谋取私利。</w:t>
      </w:r>
    </w:p>
    <w:p w14:paraId="2FFCCC9C">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(七)不得因承包人拒绝本人的不合理要求，而故意刁难承包人。</w:t>
      </w:r>
    </w:p>
    <w:p w14:paraId="3D32E31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(八)其它有关违反廉政规定的行为。</w:t>
      </w:r>
    </w:p>
    <w:p w14:paraId="19E272C0">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第三条：承包人的承诺</w:t>
      </w:r>
    </w:p>
    <w:p w14:paraId="7C26227D">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承包人应与发包人和监理保持正常的业务来往，按照有关法律、法规和工作程序开展业务工作并遵守以下规定：</w:t>
      </w:r>
    </w:p>
    <w:p w14:paraId="5F5B665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(一)不得以任何理由向发包人、监理人赠送钱物(现金、有价证券、信用卡、礼金、奖金、补贴、物品等)。</w:t>
      </w:r>
    </w:p>
    <w:p w14:paraId="431D0D98">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(二)不得以任何名义为发包人、监理人报销应由发包人、监理人或个人支付的任何费用。</w:t>
      </w:r>
    </w:p>
    <w:p w14:paraId="1C43649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(三)不准以任何理由为发包人、监理人和其它相关单位及其工作人员提供有可能影响执行公务的宴请、健身和娱乐等活动。</w:t>
      </w:r>
    </w:p>
    <w:p w14:paraId="6A9425F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(四)不得为发包人和监理人的相关人员购置或提供合同规定外的通讯工具、交通工具和高档办公用品等。</w:t>
      </w:r>
    </w:p>
    <w:p w14:paraId="4DD2F6B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(五)不准接受或暗示为发包人、监理人和其它相关单位及其工作人员装修房屋、婚丧嫁娶、配偶子女的工作安排以及出国（境）、旅游观光活动提供方便。</w:t>
      </w:r>
    </w:p>
    <w:p w14:paraId="66A4282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(六)不准利用黄、赌、贿等各种手段拉拢腐蚀发包人工作人员。</w:t>
      </w:r>
    </w:p>
    <w:p w14:paraId="2451A3E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(七)其它有关违反廉政规定的行为。</w:t>
      </w:r>
    </w:p>
    <w:p w14:paraId="48CE3EF3">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第四条：责任追究</w:t>
      </w:r>
    </w:p>
    <w:p w14:paraId="0ABEE7E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9CB5FC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(二)承包人若违反本承诺规定，发包人有权要求承包人对责任人进行处理。情节严重的，申请相关部门禁止承包人进入本区工程建设市场；在新闻媒体曝光并报承包人上级或行业主管部门。</w:t>
      </w:r>
    </w:p>
    <w:p w14:paraId="414A6BA0">
      <w:pPr>
        <w:spacing w:line="500" w:lineRule="atLeast"/>
        <w:ind w:firstLine="482" w:firstLineChars="20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第五条：其他约定</w:t>
      </w:r>
    </w:p>
    <w:p w14:paraId="4B696D8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（一）本合同书由各方单位或上级主管单位的纪检、监察部门负责监督执行。</w:t>
      </w:r>
    </w:p>
    <w:p w14:paraId="1C31250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（二）本合同书作为承包合同的组成部分，各方签字、盖章后即生效，有效期为各方签署之日起至该工程项目竣工验收合格并办理完毕工程结算时止。</w:t>
      </w:r>
    </w:p>
    <w:p w14:paraId="3ED5A39C">
      <w:pPr>
        <w:spacing w:line="500" w:lineRule="atLeast"/>
        <w:ind w:firstLine="482" w:firstLineChars="200"/>
        <w:rPr>
          <w:rFonts w:hint="eastAsia" w:ascii="仿宋" w:hAnsi="仿宋" w:eastAsia="仿宋" w:cs="仿宋"/>
          <w:b/>
          <w:color w:val="000000"/>
          <w:sz w:val="24"/>
          <w:szCs w:val="24"/>
          <w:highlight w:val="none"/>
        </w:rPr>
      </w:pPr>
    </w:p>
    <w:p w14:paraId="33BD4252">
      <w:pPr>
        <w:spacing w:line="500" w:lineRule="atLeast"/>
        <w:ind w:firstLine="482" w:firstLineChars="200"/>
        <w:rPr>
          <w:rFonts w:hint="eastAsia" w:ascii="仿宋" w:hAnsi="仿宋" w:eastAsia="仿宋" w:cs="仿宋"/>
          <w:b/>
          <w:color w:val="000000"/>
          <w:sz w:val="24"/>
          <w:szCs w:val="24"/>
          <w:highlight w:val="none"/>
        </w:rPr>
      </w:pPr>
    </w:p>
    <w:p w14:paraId="6ABFD29B">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272F8737">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90E47E4">
      <w:pPr>
        <w:widowControl/>
        <w:tabs>
          <w:tab w:val="left" w:pos="0"/>
        </w:tabs>
        <w:spacing w:line="500" w:lineRule="atLeas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5E737D7B">
      <w:pPr>
        <w:spacing w:line="500" w:lineRule="atLeas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05E30045">
      <w:pPr>
        <w:spacing w:line="500" w:lineRule="atLeast"/>
        <w:rPr>
          <w:rFonts w:hint="eastAsia" w:ascii="仿宋" w:hAnsi="仿宋" w:eastAsia="仿宋" w:cs="仿宋"/>
          <w:color w:val="000000"/>
          <w:kern w:val="0"/>
          <w:sz w:val="24"/>
          <w:szCs w:val="24"/>
          <w:highlight w:val="none"/>
        </w:rPr>
      </w:pPr>
    </w:p>
    <w:p w14:paraId="6C72BD45">
      <w:pPr>
        <w:spacing w:line="500" w:lineRule="atLeast"/>
        <w:rPr>
          <w:rFonts w:hint="eastAsia" w:ascii="仿宋" w:hAnsi="仿宋" w:eastAsia="仿宋" w:cs="仿宋"/>
          <w:color w:val="000000"/>
          <w:kern w:val="0"/>
          <w:sz w:val="24"/>
          <w:szCs w:val="24"/>
          <w:highlight w:val="none"/>
        </w:rPr>
      </w:pPr>
    </w:p>
    <w:p w14:paraId="0C2AA93F">
      <w:pPr>
        <w:spacing w:line="500" w:lineRule="atLeast"/>
        <w:rPr>
          <w:rFonts w:hint="eastAsia" w:ascii="仿宋" w:hAnsi="仿宋" w:eastAsia="仿宋" w:cs="仿宋"/>
          <w:color w:val="000000"/>
          <w:kern w:val="0"/>
          <w:sz w:val="24"/>
          <w:szCs w:val="24"/>
          <w:highlight w:val="none"/>
        </w:rPr>
      </w:pPr>
    </w:p>
    <w:p w14:paraId="3EFA526B">
      <w:pPr>
        <w:spacing w:line="500" w:lineRule="atLeast"/>
        <w:rPr>
          <w:rFonts w:hint="eastAsia" w:ascii="仿宋" w:hAnsi="仿宋" w:eastAsia="仿宋" w:cs="仿宋"/>
          <w:color w:val="000000"/>
          <w:kern w:val="0"/>
          <w:sz w:val="24"/>
          <w:szCs w:val="24"/>
          <w:highlight w:val="none"/>
        </w:rPr>
      </w:pPr>
    </w:p>
    <w:p w14:paraId="2D45F74F">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p w14:paraId="636B6DD7">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 xml:space="preserve"> </w:t>
      </w:r>
      <w:bookmarkStart w:id="34" w:name="_Toc14734"/>
      <w:r>
        <w:rPr>
          <w:rFonts w:hint="eastAsia" w:ascii="仿宋" w:hAnsi="仿宋" w:eastAsia="仿宋" w:cs="仿宋"/>
          <w:color w:val="000000"/>
          <w:sz w:val="24"/>
          <w:szCs w:val="24"/>
          <w:highlight w:val="none"/>
        </w:rPr>
        <w:t>附件3</w:t>
      </w:r>
      <w:bookmarkEnd w:id="34"/>
    </w:p>
    <w:p w14:paraId="5F409517">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现场施工环境综合整治及扬尘污染治理、创卫承诺书</w:t>
      </w:r>
    </w:p>
    <w:p w14:paraId="416FCF8B">
      <w:pPr>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w:t>
      </w:r>
      <w:r>
        <w:rPr>
          <w:rFonts w:hint="eastAsia" w:ascii="仿宋" w:hAnsi="仿宋" w:eastAsia="仿宋" w:cs="仿宋"/>
          <w:color w:val="000000"/>
          <w:sz w:val="24"/>
          <w:szCs w:val="24"/>
          <w:highlight w:val="none"/>
          <w:u w:val="single"/>
        </w:rPr>
        <w:t xml:space="preserve">                              </w:t>
      </w:r>
    </w:p>
    <w:p w14:paraId="31F712DF">
      <w:pPr>
        <w:spacing w:line="480" w:lineRule="exact"/>
        <w:ind w:firstLine="360" w:firstLineChars="1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了更好的贯彻落实国家及西安市人民政府《关于做好建筑工地环境卫生综合整治工作的通知》、《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7376A391">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我公司自进入</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施工现场施工之日起，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31D40AC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4B51B34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全面及时清理工地内的建筑垃圾和废弃物；合理、整齐的摆放各类建筑材料和设施；确保排水系统畅通，杜绝场内积水和废水横流的现象发生。</w:t>
      </w:r>
    </w:p>
    <w:p w14:paraId="375834E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加强各类车辆管理，车辆驶出工地及责任区前对车轮、车厢侧帮进行清扫冲洗除尘，严密封闭拉运渣土的车辆，各类运输车辆场内行驶速度不得超过每小时20公里。</w:t>
      </w:r>
    </w:p>
    <w:p w14:paraId="0A4AB9A3">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63CFFC6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对行车过人道路、施工现场及责任区等进行定时清扫、洒水，清除地面浮土避免二次扬尘。</w:t>
      </w:r>
    </w:p>
    <w:p w14:paraId="6F34155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C45920D">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10000元的处罚。</w:t>
      </w:r>
    </w:p>
    <w:p w14:paraId="556DF3C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我们将对施工现场环境整治和扬尘污染治理及创卫工作常抓不懈；自觉接受发包人及发监理人的检查管理，对查出的问题及时进行有效整改，我们愿意接受每次10000元的违约处罚。</w:t>
      </w:r>
    </w:p>
    <w:p w14:paraId="5F94B505">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施工过程中我们若被铁腕治霾办公室、质监站、住建局等单位点名批评、通报或评比位于倒数后三名时，除接受上级的处罚外，还接收发包人每次20000-50000元的违约处罚；若连续两次（含两次）以上被通报批评时，承包人将主动撤换不合格的项目经理，并自愿接受任意金额的处罚。</w:t>
      </w:r>
    </w:p>
    <w:p w14:paraId="3F370700">
      <w:pPr>
        <w:spacing w:line="480" w:lineRule="exact"/>
        <w:ind w:firstLine="480" w:firstLineChars="200"/>
        <w:rPr>
          <w:rFonts w:hint="eastAsia" w:ascii="仿宋" w:hAnsi="仿宋" w:eastAsia="仿宋" w:cs="仿宋"/>
          <w:color w:val="000000"/>
          <w:sz w:val="24"/>
          <w:szCs w:val="24"/>
          <w:highlight w:val="none"/>
        </w:rPr>
      </w:pPr>
    </w:p>
    <w:p w14:paraId="0582F516">
      <w:p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特此承诺</w:t>
      </w:r>
    </w:p>
    <w:p w14:paraId="42ECAA0B">
      <w:pPr>
        <w:spacing w:line="480" w:lineRule="exact"/>
        <w:ind w:firstLine="480" w:firstLineChars="200"/>
        <w:rPr>
          <w:rFonts w:hint="eastAsia" w:ascii="仿宋" w:hAnsi="仿宋" w:eastAsia="仿宋" w:cs="仿宋"/>
          <w:color w:val="000000"/>
          <w:sz w:val="24"/>
          <w:szCs w:val="24"/>
          <w:highlight w:val="none"/>
        </w:rPr>
      </w:pPr>
    </w:p>
    <w:p w14:paraId="0CFBD392">
      <w:pPr>
        <w:spacing w:line="480" w:lineRule="exact"/>
        <w:ind w:firstLine="480" w:firstLineChars="200"/>
        <w:rPr>
          <w:rFonts w:hint="eastAsia" w:ascii="仿宋" w:hAnsi="仿宋" w:eastAsia="仿宋" w:cs="仿宋"/>
          <w:color w:val="000000"/>
          <w:sz w:val="24"/>
          <w:szCs w:val="24"/>
          <w:highlight w:val="none"/>
        </w:rPr>
      </w:pPr>
    </w:p>
    <w:p w14:paraId="46BB0FF2">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施工单位：（公章）</w:t>
      </w:r>
    </w:p>
    <w:p w14:paraId="21A452F5">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法定代表人：（签字）</w:t>
      </w:r>
    </w:p>
    <w:p w14:paraId="698BC2CA">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日期：    年    月    日</w:t>
      </w:r>
    </w:p>
    <w:p w14:paraId="5DF224C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B396B"/>
    <w:rsid w:val="004435A4"/>
    <w:rsid w:val="0AA51F77"/>
    <w:rsid w:val="10611EED"/>
    <w:rsid w:val="15DF7DCF"/>
    <w:rsid w:val="16EC4FE1"/>
    <w:rsid w:val="182F3A61"/>
    <w:rsid w:val="183103F7"/>
    <w:rsid w:val="19CF7EC7"/>
    <w:rsid w:val="1B8A054A"/>
    <w:rsid w:val="209D2ACD"/>
    <w:rsid w:val="2F050873"/>
    <w:rsid w:val="37265299"/>
    <w:rsid w:val="380E222F"/>
    <w:rsid w:val="3A0D261A"/>
    <w:rsid w:val="4B614574"/>
    <w:rsid w:val="4C726431"/>
    <w:rsid w:val="4CBE1765"/>
    <w:rsid w:val="56DB396B"/>
    <w:rsid w:val="6FF71563"/>
    <w:rsid w:val="6FF74BDF"/>
    <w:rsid w:val="778A121C"/>
    <w:rsid w:val="7D470792"/>
    <w:rsid w:val="7DCC1471"/>
    <w:rsid w:val="7EB63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等线" w:hAnsi="等线" w:eastAsia="黑体" w:cs="等线"/>
      <w:b/>
      <w:color w:val="000000"/>
      <w:kern w:val="44"/>
      <w:sz w:val="28"/>
      <w:lang w:eastAsia="en-US" w:bidi="en-US"/>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Body Text Indent"/>
    <w:basedOn w:val="1"/>
    <w:qFormat/>
    <w:uiPriority w:val="0"/>
    <w:pPr>
      <w:ind w:firstLine="480"/>
    </w:pPr>
    <w:rPr>
      <w:rFonts w:ascii="宋体" w:hAnsi="宋体"/>
    </w:rPr>
  </w:style>
  <w:style w:type="paragraph" w:customStyle="1" w:styleId="10">
    <w:name w:val="p0"/>
    <w:basedOn w:val="1"/>
    <w:qFormat/>
    <w:uiPriority w:val="0"/>
    <w:pPr>
      <w:widowControl/>
    </w:pPr>
    <w:rPr>
      <w:kern w:val="0"/>
      <w:szCs w:val="21"/>
    </w:rPr>
  </w:style>
  <w:style w:type="paragraph" w:customStyle="1" w:styleId="11">
    <w:name w:val="正文缩进1"/>
    <w:basedOn w:val="1"/>
    <w:qFormat/>
    <w:uiPriority w:val="0"/>
    <w:pPr>
      <w:ind w:firstLine="42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6913</Words>
  <Characters>7146</Characters>
  <Lines>0</Lines>
  <Paragraphs>0</Paragraphs>
  <TotalTime>1</TotalTime>
  <ScaleCrop>false</ScaleCrop>
  <LinksUpToDate>false</LinksUpToDate>
  <CharactersWithSpaces>7762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2025-07-23T01:58:00Z</dcterms:created>
  <dc:creator>Mr.好奇</dc:creator>
  <cp:lastModifiedBy>在看大海阿</cp:lastModifiedBy>
  <dcterms:modified xsi:type="dcterms:W3CDTF">2026-06-05T09:00:55Z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DC23875AC057486D894E69BA64BB30D6_13</vt:lpwstr>
  </property>
  <property fmtid="{D5CDD505-2E9C-101B-9397-08002B2CF9AE}" pid="4" name="KSOTemplateDocerSaveRecord">
    <vt:lpwstr>eyJoZGlkIjoiZDRmZTQ3ZGQ5YTVmYTMzZDY0MzJkNDE5N2E3YTYwOWIiLCJ1c2VySWQiOiI2MDk3MTk1NjgifQ==</vt:lpwstr>
  </property>
</Properties>
</file>