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版本号：SXZHZB2026-ZC029-JT20260625001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2026年长安十中改善办学条件设备采购项目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SXZHZB2026-ZC029-JT</w:t>
      </w:r>
      <w:r>
        <w:br/>
      </w:r>
      <w:r>
        <w:br/>
      </w:r>
      <w:r>
        <w:br/>
      </w:r>
    </w:p>
    <w:p>
      <w:pPr>
        <w:pStyle w:val="null3"/>
        <w:jc w:val="center"/>
        <w:outlineLvl w:val="2"/>
      </w:pPr>
      <w:r>
        <w:rPr>
          <w:rFonts w:ascii="仿宋_GB2312" w:hAnsi="仿宋_GB2312" w:cs="仿宋_GB2312" w:eastAsia="仿宋_GB2312"/>
          <w:sz w:val="28"/>
          <w:b/>
        </w:rPr>
        <w:t>西安市长安区第十中学</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西安市长安区第十中学</w:t>
      </w:r>
      <w:r>
        <w:rPr>
          <w:rFonts w:ascii="仿宋_GB2312" w:hAnsi="仿宋_GB2312" w:cs="仿宋_GB2312" w:eastAsia="仿宋_GB2312"/>
        </w:rPr>
        <w:t>委托，拟对</w:t>
      </w:r>
      <w:r>
        <w:rPr>
          <w:rFonts w:ascii="仿宋_GB2312" w:hAnsi="仿宋_GB2312" w:cs="仿宋_GB2312" w:eastAsia="仿宋_GB2312"/>
        </w:rPr>
        <w:t>2026年长安十中改善办学条件设备采购项目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SXZHZB2026-ZC029-JT</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2026年长安十中改善办学条件设备采购项目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为切实保障日常教学与办公工作有序开展，满足学校正常教育教学需求，进一步提升教学质量与办公效率，现需采购一批教育教学设备。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1、法定代表人授权书/法定代表人身份证明：法定代表人授权书（附法定代表人、被授权人身份证复印件）（法定代表人直接参加谈判，须提供法定代表人身份证明）；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西安市长安区第十中学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西安市长安区黄良街道黄良镇村甲字8号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聂老师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13992863754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代理服务费收费标准：1、代理服务费：以成交金额为基数，参照国家计委颁发的《招标代理服务收费管理暂行办法》（计价格[2002]1980号）和财政部颁发的《政府采购代理机构管理暂行办法》 (财库[2018]2号) 的有关规定执行，不足8000按8000计取。 2、代理服务费由成交供应商支付，在领取《成交通知书》前，由成交供应商一次性支付给陕西纵横项目管理有限公司。 3、代理服务费缴纳账户： 开户名称：陕西纵横项目管理有限公司 开户银行：浙商银行股份有限公司西安未央路支行 账号：7910000610120100029478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西安市长安区第十中学</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西安市长安区第十中学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西安市长安区第十中学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陕西纵横项目管理有限公司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验收以本合同及附加文本，谈判文件、成交供应商的响应文件及澄清（承诺函），国家相应的标准、规范为依据。</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联系人：范工、王工</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为切实保障日常教学与办公工作有序开展，满足学校正常教育教学需求，进一步提升教学质量与办公效率，现需采购一批教育教学设备。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310,000.00</w:t>
      </w:r>
    </w:p>
    <w:p>
      <w:pPr>
        <w:pStyle w:val="null3"/>
      </w:pPr>
      <w:r>
        <w:rPr>
          <w:rFonts w:ascii="仿宋_GB2312" w:hAnsi="仿宋_GB2312" w:cs="仿宋_GB2312" w:eastAsia="仿宋_GB2312"/>
        </w:rPr>
        <w:t>采购包最高限价（元）: 310,000.00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2026年长安十中改善办学条件设备采购项目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标的名称：2026年长安十中改善办学条件设备采购项目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5"/>
              <w:gridCol w:w="185"/>
              <w:gridCol w:w="1671"/>
              <w:gridCol w:w="151"/>
              <w:gridCol w:w="164"/>
              <w:gridCol w:w="241"/>
            </w:tblGrid>
            <w:tr>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技术参数</w:t>
                  </w: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所属行业</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单人课桌椅</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规格材质及功能要求：</w:t>
                  </w:r>
                </w:p>
                <w:p>
                  <w:pPr>
                    <w:pStyle w:val="null3"/>
                    <w:jc w:val="left"/>
                  </w:pPr>
                  <w:r>
                    <w:rPr>
                      <w:rFonts w:ascii="仿宋_GB2312" w:hAnsi="仿宋_GB2312" w:cs="仿宋_GB2312" w:eastAsia="仿宋_GB2312"/>
                      <w:sz w:val="20"/>
                      <w:color w:val="000000"/>
                    </w:rPr>
                    <w:t>课桌</w:t>
                  </w: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：长</w:t>
                  </w:r>
                  <w:r>
                    <w:rPr>
                      <w:rFonts w:ascii="仿宋_GB2312" w:hAnsi="仿宋_GB2312" w:cs="仿宋_GB2312" w:eastAsia="仿宋_GB2312"/>
                      <w:sz w:val="20"/>
                      <w:color w:val="000000"/>
                    </w:rPr>
                    <w:t>600mm*宽400mm*高670-790mm</w:t>
                  </w:r>
                </w:p>
                <w:p>
                  <w:pPr>
                    <w:pStyle w:val="null3"/>
                    <w:jc w:val="left"/>
                  </w:pPr>
                  <w:r>
                    <w:rPr>
                      <w:rFonts w:ascii="仿宋_GB2312" w:hAnsi="仿宋_GB2312" w:cs="仿宋_GB2312" w:eastAsia="仿宋_GB2312"/>
                      <w:sz w:val="20"/>
                      <w:color w:val="000000"/>
                    </w:rPr>
                    <w:t>课椅</w:t>
                  </w: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：座垫</w:t>
                  </w:r>
                  <w:r>
                    <w:rPr>
                      <w:rFonts w:ascii="仿宋_GB2312" w:hAnsi="仿宋_GB2312" w:cs="仿宋_GB2312" w:eastAsia="仿宋_GB2312"/>
                      <w:sz w:val="20"/>
                      <w:color w:val="000000"/>
                    </w:rPr>
                    <w:t>380mm*390mm*座高380-460mm</w:t>
                  </w:r>
                </w:p>
                <w:p>
                  <w:pPr>
                    <w:pStyle w:val="null3"/>
                    <w:numPr>
                      <w:ilvl w:val="0"/>
                      <w:numId w:val="1"/>
                    </w:numPr>
                    <w:jc w:val="left"/>
                  </w:pPr>
                  <w:r>
                    <w:rPr>
                      <w:rFonts w:ascii="仿宋_GB2312" w:hAnsi="仿宋_GB2312" w:cs="仿宋_GB2312" w:eastAsia="仿宋_GB2312"/>
                      <w:sz w:val="20"/>
                      <w:color w:val="000000"/>
                    </w:rPr>
                    <w:t>桌面材质尺寸要求：采用</w:t>
                  </w:r>
                  <w:r>
                    <w:rPr>
                      <w:rFonts w:ascii="仿宋_GB2312" w:hAnsi="仿宋_GB2312" w:cs="仿宋_GB2312" w:eastAsia="仿宋_GB2312"/>
                      <w:sz w:val="20"/>
                      <w:color w:val="000000"/>
                    </w:rPr>
                    <w:t>PP工程塑料一次性注塑封边</w:t>
                  </w:r>
                  <w:r>
                    <w:rPr>
                      <w:rFonts w:ascii="仿宋_GB2312" w:hAnsi="仿宋_GB2312" w:cs="仿宋_GB2312" w:eastAsia="仿宋_GB2312"/>
                      <w:sz w:val="20"/>
                      <w:color w:val="000000"/>
                    </w:rPr>
                    <w:t>，</w:t>
                  </w:r>
                  <w:r>
                    <w:rPr>
                      <w:rFonts w:ascii="仿宋_GB2312" w:hAnsi="仿宋_GB2312" w:cs="仿宋_GB2312" w:eastAsia="仿宋_GB2312"/>
                      <w:sz w:val="20"/>
                      <w:color w:val="000000"/>
                    </w:rPr>
                    <w:t>桌面采用防火板，基材为</w:t>
                  </w:r>
                  <w:r>
                    <w:rPr>
                      <w:rFonts w:ascii="仿宋_GB2312" w:hAnsi="仿宋_GB2312" w:cs="仿宋_GB2312" w:eastAsia="仿宋_GB2312"/>
                      <w:sz w:val="20"/>
                      <w:color w:val="000000"/>
                    </w:rPr>
                    <w:t>E1板中密度纤维板，参考</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600mm*400mm*18mm，桌面带有鸭嘴边、笔槽设计</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2、课桌连接调节方式：课桌上下套管采用内六角螺栓连接方式可五挡调节高度，每档调节高度30mm；套管内装置注塑连接件，注塑连接件采用pp塑料</w:t>
                  </w:r>
                  <w:r>
                    <w:rPr>
                      <w:rFonts w:ascii="仿宋_GB2312" w:hAnsi="仿宋_GB2312" w:cs="仿宋_GB2312" w:eastAsia="仿宋_GB2312"/>
                      <w:sz w:val="20"/>
                      <w:color w:val="000000"/>
                    </w:rPr>
                    <w:t>一体成型。</w:t>
                  </w:r>
                </w:p>
                <w:p>
                  <w:pPr>
                    <w:pStyle w:val="null3"/>
                    <w:jc w:val="left"/>
                  </w:pPr>
                  <w:r>
                    <w:rPr>
                      <w:rFonts w:ascii="仿宋_GB2312" w:hAnsi="仿宋_GB2312" w:cs="仿宋_GB2312" w:eastAsia="仿宋_GB2312"/>
                      <w:sz w:val="20"/>
                      <w:color w:val="000000"/>
                    </w:rPr>
                    <w:t>3.椅面</w:t>
                  </w:r>
                  <w:r>
                    <w:rPr>
                      <w:rFonts w:ascii="仿宋_GB2312" w:hAnsi="仿宋_GB2312" w:cs="仿宋_GB2312" w:eastAsia="仿宋_GB2312"/>
                      <w:sz w:val="20"/>
                      <w:color w:val="000000"/>
                    </w:rPr>
                    <w:t>参考</w:t>
                  </w:r>
                  <w:r>
                    <w:rPr>
                      <w:rFonts w:ascii="仿宋_GB2312" w:hAnsi="仿宋_GB2312" w:cs="仿宋_GB2312" w:eastAsia="仿宋_GB2312"/>
                      <w:sz w:val="20"/>
                      <w:color w:val="000000"/>
                    </w:rPr>
                    <w:t>尺寸：坐板长</w:t>
                  </w:r>
                  <w:r>
                    <w:rPr>
                      <w:rFonts w:ascii="仿宋_GB2312" w:hAnsi="仿宋_GB2312" w:cs="仿宋_GB2312" w:eastAsia="仿宋_GB2312"/>
                      <w:sz w:val="20"/>
                      <w:color w:val="000000"/>
                    </w:rPr>
                    <w:t>380mm*宽390mm*厚50mm，靠背</w:t>
                  </w: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长</w:t>
                  </w:r>
                  <w:r>
                    <w:rPr>
                      <w:rFonts w:ascii="仿宋_GB2312" w:hAnsi="仿宋_GB2312" w:cs="仿宋_GB2312" w:eastAsia="仿宋_GB2312"/>
                      <w:sz w:val="20"/>
                      <w:color w:val="000000"/>
                    </w:rPr>
                    <w:t>400mm*高235mm*厚40mm，坐板采用弧形加凹型设计，符合人体工程学，靠板采用弧形设计符合人体工程学</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4、课椅连接调节方式：课椅上下套管采用内六角螺栓连接方式可五挡调节高度，每档调节高度20mm；套管内装置注塑连接件，注塑连接件采用pp塑料一体成型。</w:t>
                  </w:r>
                </w:p>
                <w:p>
                  <w:pPr>
                    <w:pStyle w:val="null3"/>
                    <w:jc w:val="left"/>
                  </w:pPr>
                  <w:r>
                    <w:rPr>
                      <w:rFonts w:ascii="仿宋_GB2312" w:hAnsi="仿宋_GB2312" w:cs="仿宋_GB2312" w:eastAsia="仿宋_GB2312"/>
                      <w:sz w:val="20"/>
                      <w:color w:val="000000"/>
                    </w:rPr>
                    <w:t>5.桌斗：采用冷轧板一次冲压成型，</w:t>
                  </w:r>
                  <w:r>
                    <w:rPr>
                      <w:rFonts w:ascii="仿宋_GB2312" w:hAnsi="仿宋_GB2312" w:cs="仿宋_GB2312" w:eastAsia="仿宋_GB2312"/>
                      <w:sz w:val="20"/>
                      <w:color w:val="000000"/>
                    </w:rPr>
                    <w:t>约</w:t>
                  </w:r>
                  <w:r>
                    <w:rPr>
                      <w:rFonts w:ascii="仿宋_GB2312" w:hAnsi="仿宋_GB2312" w:cs="仿宋_GB2312" w:eastAsia="仿宋_GB2312"/>
                      <w:sz w:val="20"/>
                      <w:color w:val="000000"/>
                    </w:rPr>
                    <w:t>高</w:t>
                  </w:r>
                  <w:r>
                    <w:rPr>
                      <w:rFonts w:ascii="仿宋_GB2312" w:hAnsi="仿宋_GB2312" w:cs="仿宋_GB2312" w:eastAsia="仿宋_GB2312"/>
                      <w:sz w:val="20"/>
                      <w:color w:val="000000"/>
                    </w:rPr>
                    <w:t>150mm*长450mm*深300mm，厚度≥0.</w:t>
                  </w:r>
                  <w:r>
                    <w:rPr>
                      <w:rFonts w:ascii="仿宋_GB2312" w:hAnsi="仿宋_GB2312" w:cs="仿宋_GB2312" w:eastAsia="仿宋_GB2312"/>
                      <w:sz w:val="20"/>
                      <w:color w:val="000000"/>
                    </w:rPr>
                    <w:t>8</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毫米。</w:t>
                  </w:r>
                </w:p>
                <w:p>
                  <w:pPr>
                    <w:pStyle w:val="null3"/>
                    <w:jc w:val="left"/>
                  </w:pPr>
                  <w:r>
                    <w:rPr>
                      <w:rFonts w:ascii="仿宋_GB2312" w:hAnsi="仿宋_GB2312" w:cs="仿宋_GB2312" w:eastAsia="仿宋_GB2312"/>
                      <w:sz w:val="20"/>
                      <w:color w:val="000000"/>
                    </w:rPr>
                    <w:t>6.桌管材要求：</w:t>
                  </w:r>
                </w:p>
                <w:p>
                  <w:pPr>
                    <w:pStyle w:val="null3"/>
                    <w:jc w:val="left"/>
                  </w:pPr>
                  <w:r>
                    <w:rPr>
                      <w:rFonts w:ascii="仿宋_GB2312" w:hAnsi="仿宋_GB2312" w:cs="仿宋_GB2312" w:eastAsia="仿宋_GB2312"/>
                      <w:sz w:val="20"/>
                      <w:color w:val="000000"/>
                    </w:rPr>
                    <w:t>桌外套管采用</w:t>
                  </w:r>
                  <w:r>
                    <w:rPr>
                      <w:rFonts w:ascii="仿宋_GB2312" w:hAnsi="仿宋_GB2312" w:cs="仿宋_GB2312" w:eastAsia="仿宋_GB2312"/>
                      <w:sz w:val="20"/>
                      <w:color w:val="000000"/>
                    </w:rPr>
                    <w:t>≥25mm*50mm*1.2mm椭圆管。</w:t>
                  </w:r>
                </w:p>
                <w:p>
                  <w:pPr>
                    <w:pStyle w:val="null3"/>
                    <w:jc w:val="left"/>
                  </w:pPr>
                  <w:r>
                    <w:rPr>
                      <w:rFonts w:ascii="仿宋_GB2312" w:hAnsi="仿宋_GB2312" w:cs="仿宋_GB2312" w:eastAsia="仿宋_GB2312"/>
                      <w:sz w:val="20"/>
                      <w:color w:val="000000"/>
                    </w:rPr>
                    <w:t>桌内管采用</w:t>
                  </w:r>
                  <w:r>
                    <w:rPr>
                      <w:rFonts w:ascii="仿宋_GB2312" w:hAnsi="仿宋_GB2312" w:cs="仿宋_GB2312" w:eastAsia="仿宋_GB2312"/>
                      <w:sz w:val="20"/>
                      <w:color w:val="000000"/>
                    </w:rPr>
                    <w:t>≥20mm*40mm*1.2mm椭圆管。</w:t>
                  </w:r>
                </w:p>
                <w:p>
                  <w:pPr>
                    <w:pStyle w:val="null3"/>
                    <w:jc w:val="left"/>
                  </w:pPr>
                  <w:r>
                    <w:rPr>
                      <w:rFonts w:ascii="仿宋_GB2312" w:hAnsi="仿宋_GB2312" w:cs="仿宋_GB2312" w:eastAsia="仿宋_GB2312"/>
                      <w:sz w:val="20"/>
                      <w:color w:val="000000"/>
                    </w:rPr>
                    <w:t>7、椅管材要求：</w:t>
                  </w:r>
                </w:p>
                <w:p>
                  <w:pPr>
                    <w:pStyle w:val="null3"/>
                    <w:jc w:val="left"/>
                  </w:pPr>
                  <w:r>
                    <w:rPr>
                      <w:rFonts w:ascii="仿宋_GB2312" w:hAnsi="仿宋_GB2312" w:cs="仿宋_GB2312" w:eastAsia="仿宋_GB2312"/>
                      <w:sz w:val="20"/>
                      <w:color w:val="000000"/>
                    </w:rPr>
                    <w:t>椅外套管采用</w:t>
                  </w:r>
                  <w:r>
                    <w:rPr>
                      <w:rFonts w:ascii="仿宋_GB2312" w:hAnsi="仿宋_GB2312" w:cs="仿宋_GB2312" w:eastAsia="仿宋_GB2312"/>
                      <w:sz w:val="20"/>
                      <w:color w:val="000000"/>
                    </w:rPr>
                    <w:t>≥25mm*50mm*1.2mm椭圆管。</w:t>
                  </w:r>
                </w:p>
                <w:p>
                  <w:pPr>
                    <w:pStyle w:val="null3"/>
                    <w:jc w:val="left"/>
                  </w:pPr>
                  <w:r>
                    <w:rPr>
                      <w:rFonts w:ascii="仿宋_GB2312" w:hAnsi="仿宋_GB2312" w:cs="仿宋_GB2312" w:eastAsia="仿宋_GB2312"/>
                      <w:sz w:val="20"/>
                      <w:color w:val="000000"/>
                    </w:rPr>
                    <w:t>椅内管采用</w:t>
                  </w:r>
                  <w:r>
                    <w:rPr>
                      <w:rFonts w:ascii="仿宋_GB2312" w:hAnsi="仿宋_GB2312" w:cs="仿宋_GB2312" w:eastAsia="仿宋_GB2312"/>
                      <w:sz w:val="20"/>
                      <w:color w:val="000000"/>
                    </w:rPr>
                    <w:t>≥20mm*40mm*1.2mm椭圆管。</w:t>
                  </w:r>
                </w:p>
                <w:p>
                  <w:pPr>
                    <w:pStyle w:val="null3"/>
                    <w:jc w:val="left"/>
                  </w:pPr>
                  <w:r>
                    <w:rPr>
                      <w:rFonts w:ascii="仿宋_GB2312" w:hAnsi="仿宋_GB2312" w:cs="仿宋_GB2312" w:eastAsia="仿宋_GB2312"/>
                      <w:sz w:val="20"/>
                      <w:color w:val="000000"/>
                    </w:rPr>
                    <w:t>8.钢架表面</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静电粉末喷涂</w:t>
                  </w:r>
                  <w:r>
                    <w:rPr>
                      <w:rFonts w:ascii="仿宋_GB2312" w:hAnsi="仿宋_GB2312" w:cs="仿宋_GB2312" w:eastAsia="仿宋_GB2312"/>
                      <w:sz w:val="20"/>
                      <w:color w:val="000000"/>
                    </w:rPr>
                    <w:t>处理，</w:t>
                  </w:r>
                  <w:r>
                    <w:rPr>
                      <w:rFonts w:ascii="仿宋_GB2312" w:hAnsi="仿宋_GB2312" w:cs="仿宋_GB2312" w:eastAsia="仿宋_GB2312"/>
                      <w:sz w:val="20"/>
                      <w:color w:val="000000"/>
                    </w:rPr>
                    <w:t>脚套与管材结合紧密，牢靠，不脱落。</w:t>
                  </w:r>
                </w:p>
                <w:p>
                  <w:pPr>
                    <w:pStyle w:val="null3"/>
                    <w:jc w:val="left"/>
                  </w:pPr>
                  <w:r>
                    <w:rPr>
                      <w:rFonts w:ascii="仿宋_GB2312" w:hAnsi="仿宋_GB2312" w:cs="仿宋_GB2312" w:eastAsia="仿宋_GB2312"/>
                      <w:sz w:val="20"/>
                      <w:color w:val="000000"/>
                    </w:rPr>
                    <w:t>9.脚套：采用塑料环保超高分子量PE材料一次性注塑成型制作。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AI智能体黑板</w:t>
                  </w:r>
                </w:p>
              </w:tc>
              <w:tc>
                <w:tcPr>
                  <w:tcW w:type="dxa" w:w="16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1.整机采用三拼接平面一体化设计，无推拉式结构及外露连接线。整机尺寸宽度≥4200mm，高度≥1200mm。整机屏幕边缘采用金属圆角包边防护。</w:t>
                  </w:r>
                </w:p>
                <w:p>
                  <w:pPr>
                    <w:pStyle w:val="null3"/>
                    <w:jc w:val="left"/>
                  </w:pPr>
                  <w:r>
                    <w:rPr>
                      <w:rFonts w:ascii="仿宋_GB2312" w:hAnsi="仿宋_GB2312" w:cs="仿宋_GB2312" w:eastAsia="仿宋_GB2312"/>
                      <w:sz w:val="21"/>
                    </w:rPr>
                    <w:t>2.整机中间主屏及两侧副屏可支持多种媒介（普通粉笔、液体粉笔、水溶性粉笔等）进行板书书写。</w:t>
                  </w:r>
                </w:p>
                <w:p>
                  <w:pPr>
                    <w:pStyle w:val="null3"/>
                    <w:jc w:val="left"/>
                  </w:pPr>
                  <w:r>
                    <w:rPr>
                      <w:rFonts w:ascii="仿宋_GB2312" w:hAnsi="仿宋_GB2312" w:cs="仿宋_GB2312" w:eastAsia="仿宋_GB2312"/>
                      <w:sz w:val="21"/>
                    </w:rPr>
                    <w:t>3.中央主屏幕显示采用≥86英寸UHD超高清LED液晶屏，显示比例16:9，屏幕分辨率≥3840*2160，具备防眩光效果。</w:t>
                  </w:r>
                </w:p>
                <w:p>
                  <w:pPr>
                    <w:pStyle w:val="null3"/>
                    <w:jc w:val="left"/>
                  </w:pPr>
                  <w:r>
                    <w:rPr>
                      <w:rFonts w:ascii="仿宋_GB2312" w:hAnsi="仿宋_GB2312" w:cs="仿宋_GB2312" w:eastAsia="仿宋_GB2312"/>
                      <w:sz w:val="21"/>
                    </w:rPr>
                    <w:t>4.整机设备副屏支持磁吸附功能。</w:t>
                  </w:r>
                </w:p>
                <w:p>
                  <w:pPr>
                    <w:pStyle w:val="null3"/>
                    <w:jc w:val="left"/>
                  </w:pPr>
                  <w:r>
                    <w:rPr>
                      <w:rFonts w:ascii="仿宋_GB2312" w:hAnsi="仿宋_GB2312" w:cs="仿宋_GB2312" w:eastAsia="仿宋_GB2312"/>
                      <w:sz w:val="21"/>
                    </w:rPr>
                    <w:t>5.采用红外触控方式，支持≥40点触控及书写划线。</w:t>
                  </w:r>
                </w:p>
                <w:p>
                  <w:pPr>
                    <w:pStyle w:val="null3"/>
                    <w:jc w:val="left"/>
                  </w:pPr>
                  <w:r>
                    <w:rPr>
                      <w:rFonts w:ascii="仿宋_GB2312" w:hAnsi="仿宋_GB2312" w:cs="仿宋_GB2312" w:eastAsia="仿宋_GB2312"/>
                      <w:sz w:val="21"/>
                    </w:rPr>
                    <w:t>6.</w:t>
                  </w:r>
                  <w:r>
                    <w:rPr>
                      <w:rFonts w:ascii="仿宋_GB2312" w:hAnsi="仿宋_GB2312" w:cs="仿宋_GB2312" w:eastAsia="仿宋_GB2312"/>
                      <w:sz w:val="19"/>
                    </w:rPr>
                    <w:t>★</w:t>
                  </w:r>
                  <w:r>
                    <w:rPr>
                      <w:rFonts w:ascii="仿宋_GB2312" w:hAnsi="仿宋_GB2312" w:cs="仿宋_GB2312" w:eastAsia="仿宋_GB2312"/>
                      <w:sz w:val="21"/>
                    </w:rPr>
                    <w:t>整机设备内置</w:t>
                  </w:r>
                  <w:r>
                    <w:rPr>
                      <w:rFonts w:ascii="仿宋_GB2312" w:hAnsi="仿宋_GB2312" w:cs="仿宋_GB2312" w:eastAsia="仿宋_GB2312"/>
                      <w:sz w:val="21"/>
                    </w:rPr>
                    <w:t>2.2声道扬声器，为了避免前排学生阻挡声音向后排传播时形成声影区，影响后排学生听到的信号的声压级和清晰度降低，扬声器安装在较高位置的大屏上边框上，最大功率≥82W。</w:t>
                  </w:r>
                </w:p>
                <w:p>
                  <w:pPr>
                    <w:pStyle w:val="null3"/>
                    <w:jc w:val="left"/>
                  </w:pPr>
                  <w:r>
                    <w:rPr>
                      <w:rFonts w:ascii="仿宋_GB2312" w:hAnsi="仿宋_GB2312" w:cs="仿宋_GB2312" w:eastAsia="仿宋_GB2312"/>
                      <w:sz w:val="21"/>
                    </w:rPr>
                    <w:t>7.整机所有扬声器均采用模块化设计。</w:t>
                  </w:r>
                </w:p>
                <w:p>
                  <w:pPr>
                    <w:pStyle w:val="null3"/>
                    <w:jc w:val="left"/>
                  </w:pPr>
                  <w:r>
                    <w:rPr>
                      <w:rFonts w:ascii="仿宋_GB2312" w:hAnsi="仿宋_GB2312" w:cs="仿宋_GB2312" w:eastAsia="仿宋_GB2312"/>
                      <w:sz w:val="21"/>
                    </w:rPr>
                    <w:t>8.整机具有减滤蓝光功能，可通过物理功能按键启用护眼模式。</w:t>
                  </w:r>
                </w:p>
                <w:p>
                  <w:pPr>
                    <w:pStyle w:val="null3"/>
                    <w:jc w:val="left"/>
                  </w:pPr>
                  <w:r>
                    <w:rPr>
                      <w:rFonts w:ascii="仿宋_GB2312" w:hAnsi="仿宋_GB2312" w:cs="仿宋_GB2312" w:eastAsia="仿宋_GB2312"/>
                      <w:sz w:val="21"/>
                    </w:rPr>
                    <w:t>9.设备支持通过物理按键启动录屏功能，可将屏幕中显示的课件、音频内容与讲授人声同步录制。</w:t>
                  </w:r>
                </w:p>
                <w:p>
                  <w:pPr>
                    <w:pStyle w:val="null3"/>
                    <w:jc w:val="left"/>
                  </w:pPr>
                  <w:r>
                    <w:rPr>
                      <w:rFonts w:ascii="仿宋_GB2312" w:hAnsi="仿宋_GB2312" w:cs="仿宋_GB2312" w:eastAsia="仿宋_GB2312"/>
                      <w:sz w:val="21"/>
                    </w:rPr>
                    <w:t>10.</w:t>
                  </w:r>
                  <w:r>
                    <w:rPr>
                      <w:rFonts w:ascii="仿宋_GB2312" w:hAnsi="仿宋_GB2312" w:cs="仿宋_GB2312" w:eastAsia="仿宋_GB2312"/>
                      <w:sz w:val="19"/>
                    </w:rPr>
                    <w:t>★</w:t>
                  </w:r>
                  <w:r>
                    <w:rPr>
                      <w:rFonts w:ascii="仿宋_GB2312" w:hAnsi="仿宋_GB2312" w:cs="仿宋_GB2312" w:eastAsia="仿宋_GB2312"/>
                      <w:sz w:val="21"/>
                    </w:rPr>
                    <w:t>整机内置一体化集成设计的非独立摄像头，可拍摄</w:t>
                  </w:r>
                  <w:r>
                    <w:rPr>
                      <w:rFonts w:ascii="仿宋_GB2312" w:hAnsi="仿宋_GB2312" w:cs="仿宋_GB2312" w:eastAsia="仿宋_GB2312"/>
                      <w:sz w:val="21"/>
                    </w:rPr>
                    <w:t>≥4850万像素数的照片。</w:t>
                  </w:r>
                </w:p>
                <w:p>
                  <w:pPr>
                    <w:pStyle w:val="null3"/>
                    <w:jc w:val="left"/>
                  </w:pPr>
                  <w:r>
                    <w:rPr>
                      <w:rFonts w:ascii="仿宋_GB2312" w:hAnsi="仿宋_GB2312" w:cs="仿宋_GB2312" w:eastAsia="仿宋_GB2312"/>
                      <w:sz w:val="21"/>
                    </w:rPr>
                    <w:t>11.整机支持通过人脸识别进行登录账号。</w:t>
                  </w:r>
                </w:p>
                <w:p>
                  <w:pPr>
                    <w:pStyle w:val="null3"/>
                    <w:jc w:val="left"/>
                  </w:pPr>
                  <w:r>
                    <w:rPr>
                      <w:rFonts w:ascii="仿宋_GB2312" w:hAnsi="仿宋_GB2312" w:cs="仿宋_GB2312" w:eastAsia="仿宋_GB2312"/>
                      <w:sz w:val="21"/>
                    </w:rPr>
                    <w:t>12.</w:t>
                  </w:r>
                  <w:r>
                    <w:rPr>
                      <w:rFonts w:ascii="仿宋_GB2312" w:hAnsi="仿宋_GB2312" w:cs="仿宋_GB2312" w:eastAsia="仿宋_GB2312"/>
                      <w:sz w:val="19"/>
                    </w:rPr>
                    <w:t>★</w:t>
                  </w:r>
                  <w:r>
                    <w:rPr>
                      <w:rFonts w:ascii="仿宋_GB2312" w:hAnsi="仿宋_GB2312" w:cs="仿宋_GB2312" w:eastAsia="仿宋_GB2312"/>
                      <w:sz w:val="21"/>
                    </w:rPr>
                    <w:t>整机可通过内置的均光技术，使其大屏屏幕亮度观看视角满足</w:t>
                  </w:r>
                  <w:r>
                    <w:rPr>
                      <w:rFonts w:ascii="仿宋_GB2312" w:hAnsi="仿宋_GB2312" w:cs="仿宋_GB2312" w:eastAsia="仿宋_GB2312"/>
                      <w:sz w:val="21"/>
                    </w:rPr>
                    <w:t>GB40070关于亮度可视角≥120度的国标要求。</w:t>
                  </w:r>
                </w:p>
                <w:p>
                  <w:pPr>
                    <w:pStyle w:val="null3"/>
                    <w:jc w:val="left"/>
                  </w:pPr>
                  <w:r>
                    <w:rPr>
                      <w:rFonts w:ascii="仿宋_GB2312" w:hAnsi="仿宋_GB2312" w:cs="仿宋_GB2312" w:eastAsia="仿宋_GB2312"/>
                      <w:sz w:val="21"/>
                    </w:rPr>
                    <w:t>13.整机支持纸质护眼模式，可以在所有显示内容下实现画面纹理的实时调整；</w:t>
                  </w:r>
                </w:p>
                <w:p>
                  <w:pPr>
                    <w:pStyle w:val="null3"/>
                    <w:jc w:val="left"/>
                  </w:pPr>
                  <w:r>
                    <w:rPr>
                      <w:rFonts w:ascii="仿宋_GB2312" w:hAnsi="仿宋_GB2312" w:cs="仿宋_GB2312" w:eastAsia="仿宋_GB2312"/>
                      <w:sz w:val="21"/>
                    </w:rPr>
                    <w:t>14.整机具备学生视力的检测，进行测试后可生成视力检测的结论，并以此建立学生视力档案。</w:t>
                  </w:r>
                </w:p>
                <w:p>
                  <w:pPr>
                    <w:pStyle w:val="null3"/>
                    <w:jc w:val="left"/>
                  </w:pPr>
                  <w:r>
                    <w:rPr>
                      <w:rFonts w:ascii="仿宋_GB2312" w:hAnsi="仿宋_GB2312" w:cs="仿宋_GB2312" w:eastAsia="仿宋_GB2312"/>
                      <w:sz w:val="21"/>
                    </w:rPr>
                    <w:t>15.整机配套教学应用APP可通过wifi直连技术，可直接连接并登录教学大屏设备。</w:t>
                  </w:r>
                </w:p>
                <w:p>
                  <w:pPr>
                    <w:pStyle w:val="null3"/>
                    <w:jc w:val="left"/>
                  </w:pPr>
                  <w:r>
                    <w:rPr>
                      <w:rFonts w:ascii="仿宋_GB2312" w:hAnsi="仿宋_GB2312" w:cs="仿宋_GB2312" w:eastAsia="仿宋_GB2312"/>
                      <w:sz w:val="21"/>
                    </w:rPr>
                    <w:t>16.</w:t>
                  </w:r>
                  <w:r>
                    <w:rPr>
                      <w:rFonts w:ascii="仿宋_GB2312" w:hAnsi="仿宋_GB2312" w:cs="仿宋_GB2312" w:eastAsia="仿宋_GB2312"/>
                      <w:sz w:val="19"/>
                    </w:rPr>
                    <w:t>★</w:t>
                  </w:r>
                  <w:r>
                    <w:rPr>
                      <w:rFonts w:ascii="仿宋_GB2312" w:hAnsi="仿宋_GB2312" w:cs="仿宋_GB2312" w:eastAsia="仿宋_GB2312"/>
                      <w:sz w:val="21"/>
                    </w:rPr>
                    <w:t>大屏可通过内置的话筒定位软件来识别现场发言学生的具体方位。</w:t>
                  </w:r>
                </w:p>
                <w:p>
                  <w:pPr>
                    <w:pStyle w:val="null3"/>
                    <w:jc w:val="left"/>
                  </w:pPr>
                  <w:r>
                    <w:rPr>
                      <w:rFonts w:ascii="仿宋_GB2312" w:hAnsi="仿宋_GB2312" w:cs="仿宋_GB2312" w:eastAsia="仿宋_GB2312"/>
                      <w:sz w:val="21"/>
                    </w:rPr>
                    <w:t>17.整机内置双WiFi6无线网卡（不接受外接），在Android和Windows系统下，可实现Wi-Fi无线上网连接、AP无线热点发射。</w:t>
                  </w:r>
                </w:p>
                <w:p>
                  <w:pPr>
                    <w:pStyle w:val="null3"/>
                    <w:jc w:val="left"/>
                  </w:pPr>
                  <w:r>
                    <w:rPr>
                      <w:rFonts w:ascii="仿宋_GB2312" w:hAnsi="仿宋_GB2312" w:cs="仿宋_GB2312" w:eastAsia="仿宋_GB2312"/>
                      <w:sz w:val="21"/>
                    </w:rPr>
                    <w:t>18.整机支持发出各种频率信号，移动端设备通过麦克风接收到信号后，可以与整机不在同一局域网内，也可实现彼此之间的配对。</w:t>
                  </w:r>
                </w:p>
                <w:p>
                  <w:pPr>
                    <w:pStyle w:val="null3"/>
                    <w:jc w:val="left"/>
                  </w:pPr>
                  <w:r>
                    <w:rPr>
                      <w:rFonts w:ascii="仿宋_GB2312" w:hAnsi="仿宋_GB2312" w:cs="仿宋_GB2312" w:eastAsia="仿宋_GB2312"/>
                      <w:sz w:val="21"/>
                    </w:rPr>
                    <w:t>19.整机不低于支持蓝牙Bluetooth 5.4标准。</w:t>
                  </w:r>
                </w:p>
                <w:p>
                  <w:pPr>
                    <w:pStyle w:val="null3"/>
                    <w:jc w:val="left"/>
                  </w:pPr>
                  <w:r>
                    <w:rPr>
                      <w:rFonts w:ascii="仿宋_GB2312" w:hAnsi="仿宋_GB2312" w:cs="仿宋_GB2312" w:eastAsia="仿宋_GB2312"/>
                      <w:sz w:val="21"/>
                    </w:rPr>
                    <w:t>20.整机嵌入式系统版本≥Android 15。</w:t>
                  </w:r>
                </w:p>
                <w:p>
                  <w:pPr>
                    <w:pStyle w:val="null3"/>
                    <w:jc w:val="left"/>
                  </w:pPr>
                  <w:r>
                    <w:rPr>
                      <w:rFonts w:ascii="仿宋_GB2312" w:hAnsi="仿宋_GB2312" w:cs="仿宋_GB2312" w:eastAsia="仿宋_GB2312"/>
                      <w:sz w:val="21"/>
                    </w:rPr>
                    <w:t>21.</w:t>
                  </w:r>
                  <w:r>
                    <w:rPr>
                      <w:rFonts w:ascii="仿宋_GB2312" w:hAnsi="仿宋_GB2312" w:cs="仿宋_GB2312" w:eastAsia="仿宋_GB2312"/>
                      <w:sz w:val="19"/>
                    </w:rPr>
                    <w:t>★</w:t>
                  </w:r>
                  <w:r>
                    <w:rPr>
                      <w:rFonts w:ascii="仿宋_GB2312" w:hAnsi="仿宋_GB2312" w:cs="仿宋_GB2312" w:eastAsia="仿宋_GB2312"/>
                      <w:sz w:val="21"/>
                    </w:rPr>
                    <w:t>整机</w:t>
                  </w:r>
                  <w:r>
                    <w:rPr>
                      <w:rFonts w:ascii="仿宋_GB2312" w:hAnsi="仿宋_GB2312" w:cs="仿宋_GB2312" w:eastAsia="仿宋_GB2312"/>
                      <w:sz w:val="21"/>
                    </w:rPr>
                    <w:t>CPU芯片，WIFI与蓝牙芯片、摄像头图像处理芯片、均采用国产自主芯片。</w:t>
                  </w:r>
                </w:p>
                <w:p>
                  <w:pPr>
                    <w:pStyle w:val="null3"/>
                    <w:jc w:val="left"/>
                  </w:pPr>
                  <w:r>
                    <w:rPr>
                      <w:rFonts w:ascii="仿宋_GB2312" w:hAnsi="仿宋_GB2312" w:cs="仿宋_GB2312" w:eastAsia="仿宋_GB2312"/>
                      <w:sz w:val="21"/>
                    </w:rPr>
                    <w:t>22.整机白板软件支持智能图表绘制，可将手绘表格转化为智能表格，形成表格对象后表格中书写区域可根据书写内容自适应调整大小，支持将表格外书写内容一键拖动到表格中。</w:t>
                  </w:r>
                </w:p>
                <w:p>
                  <w:pPr>
                    <w:pStyle w:val="null3"/>
                    <w:jc w:val="left"/>
                  </w:pPr>
                  <w:r>
                    <w:rPr>
                      <w:rFonts w:ascii="仿宋_GB2312" w:hAnsi="仿宋_GB2312" w:cs="仿宋_GB2312" w:eastAsia="仿宋_GB2312"/>
                      <w:sz w:val="21"/>
                    </w:rPr>
                    <w:t>23.整机支持与大屏实现双向对话交流（通过内置软件）。</w:t>
                  </w:r>
                </w:p>
                <w:p>
                  <w:pPr>
                    <w:pStyle w:val="null3"/>
                    <w:jc w:val="left"/>
                  </w:pPr>
                  <w:r>
                    <w:rPr>
                      <w:rFonts w:ascii="仿宋_GB2312" w:hAnsi="仿宋_GB2312" w:cs="仿宋_GB2312" w:eastAsia="仿宋_GB2312"/>
                      <w:sz w:val="21"/>
                    </w:rPr>
                    <w:t>24.整机侧边栏内置朗读工具，通过内置的音频设备监测学生的现场朗读情况。</w:t>
                  </w:r>
                </w:p>
                <w:p>
                  <w:pPr>
                    <w:pStyle w:val="null3"/>
                    <w:jc w:val="left"/>
                  </w:pPr>
                  <w:r>
                    <w:rPr>
                      <w:rFonts w:ascii="仿宋_GB2312" w:hAnsi="仿宋_GB2312" w:cs="仿宋_GB2312" w:eastAsia="仿宋_GB2312"/>
                      <w:sz w:val="21"/>
                      <w:color w:val="000000"/>
                    </w:rPr>
                    <w:t>25.支持在无任何外部设备的情况下，实时录制学生朗读内容，识别学生声纹并进行统一身份登录，登录后自动获取个人云端教学课件列表，打开教学白板软件时可跳过软件自带登录步骤。</w:t>
                  </w:r>
                </w:p>
                <w:p>
                  <w:pPr>
                    <w:pStyle w:val="null3"/>
                    <w:jc w:val="left"/>
                  </w:pPr>
                  <w:r>
                    <w:rPr>
                      <w:rFonts w:ascii="仿宋_GB2312" w:hAnsi="仿宋_GB2312" w:cs="仿宋_GB2312" w:eastAsia="仿宋_GB2312"/>
                      <w:sz w:val="21"/>
                    </w:rPr>
                    <w:t>26.整机支持对大屏、视频展台等拍摄的显示内容进行识别，并对其进行应对的解释。</w:t>
                  </w:r>
                </w:p>
                <w:p>
                  <w:pPr>
                    <w:pStyle w:val="null3"/>
                    <w:jc w:val="left"/>
                  </w:pPr>
                  <w:r>
                    <w:rPr>
                      <w:rFonts w:ascii="仿宋_GB2312" w:hAnsi="仿宋_GB2312" w:cs="仿宋_GB2312" w:eastAsia="仿宋_GB2312"/>
                      <w:sz w:val="21"/>
                    </w:rPr>
                    <w:t>27.</w:t>
                  </w:r>
                  <w:r>
                    <w:rPr>
                      <w:rFonts w:ascii="仿宋_GB2312" w:hAnsi="仿宋_GB2312" w:cs="仿宋_GB2312" w:eastAsia="仿宋_GB2312"/>
                      <w:sz w:val="19"/>
                    </w:rPr>
                    <w:t>★</w:t>
                  </w:r>
                  <w:r>
                    <w:rPr>
                      <w:rFonts w:ascii="仿宋_GB2312" w:hAnsi="仿宋_GB2312" w:cs="仿宋_GB2312" w:eastAsia="仿宋_GB2312"/>
                      <w:sz w:val="21"/>
                    </w:rPr>
                    <w:t>整机支持通过内置软件进行各种交流而获得遗址、文物、展品等各类知识，学生可通过语言进行提问，征集软件可以对提问进行详尽的答复。</w:t>
                  </w:r>
                </w:p>
                <w:p>
                  <w:pPr>
                    <w:pStyle w:val="null3"/>
                    <w:jc w:val="left"/>
                  </w:pPr>
                  <w:r>
                    <w:rPr>
                      <w:rFonts w:ascii="仿宋_GB2312" w:hAnsi="仿宋_GB2312" w:cs="仿宋_GB2312" w:eastAsia="仿宋_GB2312"/>
                      <w:sz w:val="21"/>
                    </w:rPr>
                    <w:t>28.采用抽拉内置式模块化电脑，抽拉内置式，PC模块可插入整机，可实现无单独接线的插拔。按压式卡扣方式.</w:t>
                  </w:r>
                </w:p>
                <w:p>
                  <w:pPr>
                    <w:pStyle w:val="null3"/>
                    <w:jc w:val="left"/>
                  </w:pPr>
                  <w:r>
                    <w:rPr>
                      <w:rFonts w:ascii="仿宋_GB2312" w:hAnsi="仿宋_GB2312" w:cs="仿宋_GB2312" w:eastAsia="仿宋_GB2312"/>
                      <w:sz w:val="21"/>
                    </w:rPr>
                    <w:t>29.搭载不低于Intel 12代酷睿 i5CPU。内存：≥8GB DDR4笔记本内存或以上配置。硬盘：≥256GB SSD固态硬盘或以上配置。</w:t>
                  </w:r>
                </w:p>
                <w:p>
                  <w:pPr>
                    <w:pStyle w:val="null3"/>
                    <w:jc w:val="left"/>
                  </w:pPr>
                  <w:r>
                    <w:rPr>
                      <w:rFonts w:ascii="仿宋_GB2312" w:hAnsi="仿宋_GB2312" w:cs="仿宋_GB2312" w:eastAsia="仿宋_GB2312"/>
                      <w:sz w:val="21"/>
                    </w:rPr>
                    <w:t>32.具有独立非外扩展的电脑USB接口：电脑上至少具备3个USB3.0 接口。</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备授课软件</w:t>
                  </w:r>
                </w:p>
              </w:tc>
              <w:tc>
                <w:tcPr>
                  <w:tcW w:type="dxa" w:w="16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1.备授课一体化多场景。</w:t>
                  </w:r>
                </w:p>
                <w:p>
                  <w:pPr>
                    <w:pStyle w:val="null3"/>
                    <w:jc w:val="left"/>
                  </w:pPr>
                  <w:r>
                    <w:rPr>
                      <w:rFonts w:ascii="仿宋_GB2312" w:hAnsi="仿宋_GB2312" w:cs="仿宋_GB2312" w:eastAsia="仿宋_GB2312"/>
                      <w:sz w:val="21"/>
                    </w:rPr>
                    <w:t>2.电子白板软件提供至少三种登录方式。各级菜单功能按钮和图标的各级菜单均配备明确标识。</w:t>
                  </w:r>
                </w:p>
                <w:p>
                  <w:pPr>
                    <w:pStyle w:val="null3"/>
                    <w:jc w:val="left"/>
                  </w:pPr>
                  <w:r>
                    <w:rPr>
                      <w:rFonts w:ascii="仿宋_GB2312" w:hAnsi="仿宋_GB2312" w:cs="仿宋_GB2312" w:eastAsia="仿宋_GB2312"/>
                      <w:sz w:val="21"/>
                    </w:rPr>
                    <w:t>3.支持用户在软件中打开pptx格式文件，且用户可在软件中自由编辑原文件中的图片、文字、表格等元素，并支持修改原文件中的动画。老师利用软件互动功能在原有PPT基础上修改课件。</w:t>
                  </w:r>
                </w:p>
                <w:p>
                  <w:pPr>
                    <w:pStyle w:val="null3"/>
                    <w:jc w:val="left"/>
                  </w:pPr>
                  <w:r>
                    <w:rPr>
                      <w:rFonts w:ascii="仿宋_GB2312" w:hAnsi="仿宋_GB2312" w:cs="仿宋_GB2312" w:eastAsia="仿宋_GB2312"/>
                      <w:sz w:val="21"/>
                    </w:rPr>
                    <w:t>4.文本框：支持文本输入并可快速设置字体、大小、颜色、粗体、斜体、下划线、上角标、下角标、项目符号，方便指数、化学式等复杂文本的输入。可对文本的对齐、缩进、行高等进行设置。</w:t>
                  </w:r>
                </w:p>
                <w:p>
                  <w:pPr>
                    <w:pStyle w:val="null3"/>
                    <w:jc w:val="left"/>
                  </w:pPr>
                  <w:r>
                    <w:rPr>
                      <w:rFonts w:ascii="仿宋_GB2312" w:hAnsi="仿宋_GB2312" w:cs="仿宋_GB2312" w:eastAsia="仿宋_GB2312"/>
                      <w:sz w:val="21"/>
                    </w:rPr>
                    <w:t>5.多媒体导入：支持导入图片、音视频等多媒体文件供备课使用</w:t>
                  </w:r>
                </w:p>
                <w:p>
                  <w:pPr>
                    <w:pStyle w:val="null3"/>
                    <w:jc w:val="left"/>
                  </w:pPr>
                  <w:r>
                    <w:rPr>
                      <w:rFonts w:ascii="仿宋_GB2312" w:hAnsi="仿宋_GB2312" w:cs="仿宋_GB2312" w:eastAsia="仿宋_GB2312"/>
                      <w:sz w:val="21"/>
                    </w:rPr>
                    <w:t>6.提供专门的白板软件手机版，在手机上登录账号后，支持以列表的方式查看该账号里所有的云课件，预览模式下的云课件支持元素拖拽、克隆、置顶、删除等互动功能，支持在手机上进行思维导图、课堂活动等操作。</w:t>
                  </w:r>
                </w:p>
                <w:p>
                  <w:pPr>
                    <w:pStyle w:val="null3"/>
                    <w:jc w:val="left"/>
                  </w:pPr>
                  <w:r>
                    <w:rPr>
                      <w:rFonts w:ascii="仿宋_GB2312" w:hAnsi="仿宋_GB2312" w:cs="仿宋_GB2312" w:eastAsia="仿宋_GB2312"/>
                      <w:sz w:val="21"/>
                    </w:rPr>
                    <w:t>7.支持通过U盘制作U盘钥匙快速登录账号，并同步云端课件。</w:t>
                  </w:r>
                </w:p>
                <w:p>
                  <w:pPr>
                    <w:pStyle w:val="null3"/>
                    <w:jc w:val="left"/>
                  </w:pPr>
                  <w:r>
                    <w:rPr>
                      <w:rFonts w:ascii="仿宋_GB2312" w:hAnsi="仿宋_GB2312" w:cs="仿宋_GB2312" w:eastAsia="仿宋_GB2312"/>
                      <w:sz w:val="21"/>
                    </w:rPr>
                    <w:t>8.具有在课件中生成评课和课件分享二维码，方便老师实时评课，评课标准为央馆一师一优课标准模板，或学校可根据实际情况自己定义，并支持主观评价。</w:t>
                  </w:r>
                </w:p>
                <w:p>
                  <w:pPr>
                    <w:pStyle w:val="null3"/>
                    <w:jc w:val="left"/>
                  </w:pPr>
                  <w:r>
                    <w:rPr>
                      <w:rFonts w:ascii="仿宋_GB2312" w:hAnsi="仿宋_GB2312" w:cs="仿宋_GB2312" w:eastAsia="仿宋_GB2312"/>
                      <w:sz w:val="21"/>
                    </w:rPr>
                    <w:t>9.提供教学设计功能，支持教师根据教学需要自主添加课堂活动。课堂活动中涵盖趣味分类，超级分类，选词填空，知识配对，分组竞争，判断对错等环节，支持调整编辑或增删各个环节。</w:t>
                  </w:r>
                </w:p>
                <w:p>
                  <w:pPr>
                    <w:pStyle w:val="null3"/>
                    <w:jc w:val="left"/>
                  </w:pPr>
                  <w:r>
                    <w:rPr>
                      <w:rFonts w:ascii="仿宋_GB2312" w:hAnsi="仿宋_GB2312" w:cs="仿宋_GB2312" w:eastAsia="仿宋_GB2312"/>
                      <w:sz w:val="21"/>
                    </w:rPr>
                    <w:t>10.支持创建分组竞争游戏，教师可设置正确项／干扰项，让两组学生开展竞争游戏。</w:t>
                  </w:r>
                </w:p>
                <w:p>
                  <w:pPr>
                    <w:pStyle w:val="null3"/>
                    <w:jc w:val="left"/>
                  </w:pPr>
                  <w:r>
                    <w:rPr>
                      <w:rFonts w:ascii="仿宋_GB2312" w:hAnsi="仿宋_GB2312" w:cs="仿宋_GB2312" w:eastAsia="仿宋_GB2312"/>
                      <w:sz w:val="21"/>
                    </w:rPr>
                    <w:t>11.支持在备授课软件中录制教学小视频：个人空间支持语音识别转文字，支持视频内课件控制，支持在个人空间查看录制数量、累计时长数据，提供上述数据个人与全校教师的对比情况。在白板软件直接录制。</w:t>
                  </w:r>
                </w:p>
                <w:p>
                  <w:pPr>
                    <w:pStyle w:val="null3"/>
                    <w:jc w:val="left"/>
                  </w:pPr>
                  <w:r>
                    <w:rPr>
                      <w:rFonts w:ascii="仿宋_GB2312" w:hAnsi="仿宋_GB2312" w:cs="仿宋_GB2312" w:eastAsia="仿宋_GB2312"/>
                      <w:sz w:val="21"/>
                    </w:rPr>
                    <w:t>12.支持对思维导图任意相邻节点进行总结，老师知识点的总结呈现，同时在节点引出联系内容，知识点的关联和总结。</w:t>
                  </w:r>
                </w:p>
                <w:p>
                  <w:pPr>
                    <w:pStyle w:val="null3"/>
                    <w:jc w:val="left"/>
                  </w:pPr>
                  <w:r>
                    <w:rPr>
                      <w:rFonts w:ascii="仿宋_GB2312" w:hAnsi="仿宋_GB2312" w:cs="仿宋_GB2312" w:eastAsia="仿宋_GB2312"/>
                      <w:sz w:val="21"/>
                    </w:rPr>
                    <w:t>13.AI智能英语听写工具：配合英语学科听写工具，覆盖小初高不少于6000个英语单词及多个常用教材版本，单词内容与教材章节相一致，支持自定义选择单词。自定义听写频率和次数，一键生成听写卡；授课模式下支持一键开启听写朗读。</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软件和信息技术服务业</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视频展台</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1.采用三折叠开合式托板，展开后托板尺寸≥A4面积。</w:t>
                  </w:r>
                </w:p>
                <w:p>
                  <w:pPr>
                    <w:pStyle w:val="null3"/>
                    <w:jc w:val="left"/>
                  </w:pPr>
                  <w:r>
                    <w:rPr>
                      <w:rFonts w:ascii="仿宋_GB2312" w:hAnsi="仿宋_GB2312" w:cs="仿宋_GB2312" w:eastAsia="仿宋_GB2312"/>
                      <w:sz w:val="21"/>
                    </w:rPr>
                    <w:t>2.采用800W像素自动对焦摄像头，可拍摄A4画幅，采用USB高速接口，单根USB线实现供电、高清数据传输需求。</w:t>
                  </w:r>
                </w:p>
                <w:p>
                  <w:pPr>
                    <w:pStyle w:val="null3"/>
                    <w:jc w:val="left"/>
                  </w:pPr>
                  <w:r>
                    <w:rPr>
                      <w:rFonts w:ascii="仿宋_GB2312" w:hAnsi="仿宋_GB2312" w:cs="仿宋_GB2312" w:eastAsia="仿宋_GB2312"/>
                      <w:sz w:val="21"/>
                    </w:rPr>
                    <w:t>3.展台按键采用电容式触摸按键，可实现一键启动展台画面、画面放大、画面缩小、画面旋转、拍照截图等，同时也支持在一体机或电脑上进行同样的操作。</w:t>
                  </w:r>
                </w:p>
                <w:p>
                  <w:pPr>
                    <w:pStyle w:val="null3"/>
                    <w:jc w:val="left"/>
                  </w:pPr>
                  <w:r>
                    <w:rPr>
                      <w:rFonts w:ascii="仿宋_GB2312" w:hAnsi="仿宋_GB2312" w:cs="仿宋_GB2312" w:eastAsia="仿宋_GB2312"/>
                      <w:sz w:val="21"/>
                    </w:rPr>
                    <w:t>4.支持二维码扫码：打开扫一扫功能后，将书本上的二维码放入扫描框内即可自动扫描，并进入系统浏览器获取二维码的链接内容，帮助老师快速获取电子教学资源。</w:t>
                  </w:r>
                </w:p>
                <w:p>
                  <w:pPr>
                    <w:pStyle w:val="null3"/>
                    <w:jc w:val="left"/>
                  </w:pPr>
                  <w:r>
                    <w:rPr>
                      <w:rFonts w:ascii="仿宋_GB2312" w:hAnsi="仿宋_GB2312" w:cs="仿宋_GB2312" w:eastAsia="仿宋_GB2312"/>
                      <w:sz w:val="21"/>
                    </w:rPr>
                    <w:t>5.老师可在一体机或电脑上选择延时拍照功能，支持5秒或10秒延时模式，预留充足时间以便调整拍摄内容。</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自合同签订之日起30个日历天完成交货、安装、调试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其他，交货、安装、调试完成并且验收合格后，并开具等额发票，达到付款条件起30个工作日内，支付合同总金额的100.0%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验收以本合同及附加文本，谈判文件、成交供应商的响应文件及澄清（承诺函），国家相应的标准、规范为依据。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本项目“质保期”是指合同设备通过“最终验收”后免费保修的期限，自“最终验收”日（以“最终验收”证书上注明验收日期为准）起，期限为一年。凡国家有规定的，优于竞争性谈判文件要求的，按国家规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谈判报价是供应商应在谈判报价表中标明完成本项目所要求内容且验收合格的所有费用,包括但不限于设备费（含相关配件、附件、安装材料）、产品费、安装调试费、运杂费（含保险）、仓储保管费、技术培训费、检测费、招标代理服务费、税金等其他一切相关费用。任何有选择的报价将不予接受，否则按无效谈判处理。 （2）项目属性：货物。 （3）本项目所属行业为：工业,根据《工业和信息化部 国家统计局国家发展和改革委员会 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（4）核心产品：智能体黑板 （5）按照西安市财政局关于促进政府采购公平竞争优化营商环境的通知&gt;(市财函(2021)431号)规定:供应商登记免费领取谈判文件的，如不参与项目投标，应在递交谈判响应文件截止时间前一日以书面形式告知采购代理机构。否则，采购代理机构可以向财政部门反映情况并提供相应的佐证。供应商一年内累计出现三次该情形，将被监管部门记录为失信行为。 （6）本项目是否属于信用担保试点范围：否 （7）若为授权代表参加投标，响应文件中需提供被授权代表开标前三个月内任意一个月在本单位的社保缴纳证明。 （8）谈判中出现下列情形之一的，谈判小组应当启动异常低价投标(响应)审查程序: 1.投标(响应)报价低于全部通过符合性审查供应商投标(响应)报价平均值50%的，即投标(响应)报价〈全部通过符合性审查供应商投标(响应)报价平均值X50%; 2.投标(响应)报价低于通过符合性审查的次低报价供应商投标(响应)报价50%的，即投标(响应)报价〈通过符合性审查的次低报价供应商投标(响应)报价X50%; 3.投标(响应)报价低于采购项目最高限价45%的，即投标(响应)报价&lt;采购项目最高限价X45%; 4.谈判小组基于专业判断，认为供应商报价过低，有可能影响产品质量或者不能诚信履约的其他情形。 谈判小组启动异常低价投际(响应)审查后，属于前述第1项至第4项情形的，应当要求相关供应商在30分钟内对投标(响应)价格作出解释，提供项目具体成本测算等与报价合理性相关的书面说明及必要的证明材料，包括但不限于原材科成本、人工成本、制造费用等。其中，属于第3项情形，供应商已随投标(响应)文件一并提交相关书面说明及必要的证明材科的，在评审现场可不再重复提交。 谈判小组依据专业经验，参考同类项目中标(成交)价格、关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谈判小组应当将其作为无效投标(响应)处理。 谈判小组借助互联网等渠道查询相关信息的，应当严格遵守评审工作纪律，不得实施影响评审公正的行为。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异常低价投标(响应)审查的启动原因、审查意见和审查结果应当在评审报告中记录，并随供应商提供的相关书面说明及证明材料，以及谈判小组有关互联网浏览、查询历史一并归档。 （9）落实政府采购政策《国务院办公厅关于在政府采购中实施本国产品标准及相关政策的通知国办发〔2025〕34号》，本项目为仅有本国产品参与竞争的政府采购项目。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谈判截止时间前6个月内任意时段的依法缴纳税收的相关凭据（时间以税款所属日期为准），依法免税或无须缴纳税收的供应商应提供相关证明材料；3、提供谈判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经审计的财务会计报告（至少包括审计报告、资产负债表和利润表，成立时间至提交谈判响应文件截止时间不足一年的可提供成立后任意时段的资产负债表）或提供开标日期前三个月内其基本存款账户开户银行出具的资信证明（需附供应商开户许可证（或基本存款账户信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法定代表人授权书（附法定代表人、被授权人身份证复印件）（法定代表人直接参加谈判，须提供法定代表人身份证明）；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谈判方案说明书 本国产品说明 中小企业声明函 业绩 报价表 中国境内生产的组件成本核算基本规则 商务条款偏离表 响应文件封面 资格证明文件 谈判分项报价表 残疾人福利性单位声明函 其它说明 陕西省政府采购供应商拒绝政府采购领域商业贿赂承诺书 关于符合本国产品标准的声明函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谈判响应文件上法定代表人或其授权代表人的签字齐全并加盖公章</w:t>
            </w:r>
          </w:p>
        </w:tc>
        <w:tc>
          <w:tcPr>
            <w:tcW w:type="dxa" w:w="1661"/>
          </w:tcPr>
          <w:p>
            <w:pPr>
              <w:pStyle w:val="null3"/>
            </w:pPr>
            <w:r>
              <w:rPr>
                <w:rFonts w:ascii="仿宋_GB2312" w:hAnsi="仿宋_GB2312" w:cs="仿宋_GB2312" w:eastAsia="仿宋_GB2312"/>
              </w:rPr>
              <w:t>谈判方案说明书 本国产品说明 中小企业声明函 业绩 报价表 中国境内生产的组件成本核算基本规则 商务条款偏离表 响应文件封面 资格证明文件 谈判分项报价表 残疾人福利性单位声明函 其它说明 标的清单 陕西省政府采购供应商拒绝政府采购领域商业贿赂承诺书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谈判方案说明书 中小企业声明函 业绩 报价表 商务条款偏离表 响应文件封面 资格证明文件 谈判分项报价表 残疾人福利性单位声明函 其它说明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首次谈判报价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谈判方案说明书 中小企业声明函 业绩 报价表 商务条款偏离表 响应文件封面 资格证明文件 谈判分项报价表 残疾人福利性单位声明函 其它说明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谈判方案说明书 中小企业声明函 业绩 报价表 商务条款偏离表 响应文件封面 资格证明文件 谈判分项报价表 残疾人福利性单位声明函 其它说明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应满足谈判文件中要求的交货时间</w:t>
            </w:r>
          </w:p>
        </w:tc>
        <w:tc>
          <w:tcPr>
            <w:tcW w:type="dxa" w:w="1661"/>
          </w:tcPr>
          <w:p>
            <w:pPr>
              <w:pStyle w:val="null3"/>
            </w:pPr>
            <w:r>
              <w:rPr>
                <w:rFonts w:ascii="仿宋_GB2312" w:hAnsi="仿宋_GB2312" w:cs="仿宋_GB2312" w:eastAsia="仿宋_GB2312"/>
              </w:rPr>
              <w:t>谈判方案说明书 中小企业声明函 业绩 报价表 商务条款偏离表 响应文件封面 资格证明文件 谈判分项报价表 残疾人福利性单位声明函 其它说明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应满足谈判文件中要求的质保期</w:t>
            </w:r>
          </w:p>
        </w:tc>
        <w:tc>
          <w:tcPr>
            <w:tcW w:type="dxa" w:w="1661"/>
          </w:tcPr>
          <w:p>
            <w:pPr>
              <w:pStyle w:val="null3"/>
            </w:pPr>
            <w:r>
              <w:rPr>
                <w:rFonts w:ascii="仿宋_GB2312" w:hAnsi="仿宋_GB2312" w:cs="仿宋_GB2312" w:eastAsia="仿宋_GB2312"/>
              </w:rPr>
              <w:t>谈判方案说明书 中小企业声明函 业绩 报价表 商务条款偏离表 响应文件封面 资格证明文件 谈判分项报价表 残疾人福利性单位声明函 其它说明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应满足谈判文件中要求的交货地点</w:t>
            </w:r>
          </w:p>
        </w:tc>
        <w:tc>
          <w:tcPr>
            <w:tcW w:type="dxa" w:w="1661"/>
          </w:tcPr>
          <w:p>
            <w:pPr>
              <w:pStyle w:val="null3"/>
            </w:pPr>
            <w:r>
              <w:rPr>
                <w:rFonts w:ascii="仿宋_GB2312" w:hAnsi="仿宋_GB2312" w:cs="仿宋_GB2312" w:eastAsia="仿宋_GB2312"/>
              </w:rPr>
              <w:t>谈判方案说明书 中小企业声明函 业绩 报价表 商务条款偏离表 响应文件封面 资格证明文件 谈判分项报价表 残疾人福利性单位声明函 其它说明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谈判方案说明书 中小企业声明函 业绩 报价表 商务条款偏离表 响应文件封面 资格证明文件 谈判分项报价表 残疾人福利性单位声明函 其它说明 标的清单 陕西省政府采购供应商拒绝政府采购领域商业贿赂承诺书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落实政府采购政策《国务院办公厅关于在政府采购中实施本国产品标准及相关政策的通知国办发〔2025〕34号》，本项目为仅有本国产品参与竞争的政府采购项目。</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详见附件：谈判分项报价表</w:t>
      </w:r>
    </w:p>
    <w:p>
      <w:pPr>
        <w:pStyle w:val="null3"/>
        <w:ind w:firstLine="960"/>
      </w:pPr>
      <w:r>
        <w:rPr>
          <w:rFonts w:ascii="仿宋_GB2312" w:hAnsi="仿宋_GB2312" w:cs="仿宋_GB2312" w:eastAsia="仿宋_GB2312"/>
        </w:rPr>
        <w:t>详见附件：谈判方案说明书</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详见附件：其它说明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详见附件：2026年长安十中改善办学条件设备采购项目.docx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