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A56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1.将招标文件“第四章  招标内容及采购需求”中的“二、医用制氧设备总体要求”原要求“▲1.制氧系统采用的阀件使用寿命≥10年，分子筛使用寿命≥10年，须提供第三方检测机构出具的带CMA标识的检测报告。”更正为“▲1.制氧系统采用的阀件使用寿命≥10年，分子筛使用寿命≥10年，须提供有资质的第三方出具的检测报告”。</w:t>
      </w:r>
    </w:p>
    <w:p w14:paraId="5C219461">
      <w:pPr>
        <w:spacing w:line="24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.将招标文件“第四章  招标内容及采购需求”中的“二、医用制氧设备总体要求”原要求“2.制氧系统具有降噪设计，保证运行噪音低于60dBA（1米处），须提供第三方检测机构出具的带CMA标识的检测报告。”更正为“2.制氧系统具有降噪设计，保证运行噪音低于60dBA(1米处），须提供有资质的第三方出具的检测报告”。</w:t>
      </w:r>
    </w:p>
    <w:p w14:paraId="7AF40090">
      <w:pPr>
        <w:spacing w:line="240" w:lineRule="auto"/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3.将招标文件“第四章  招标内容及采购需求”中的“二、医用制氧设备总体要求”原要求“3.在正常工况下，制氧分子筛无需更换，一次性使用时间≥10万小时以上，且制氧效率衰减≤10%，须提供第三方检测机构出具的带CMA标识的检测报告。”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更正为“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在正常工况下，制氧分子筛无需更换，一次性使用时间≥10万小时以上，且制氧效率衰减≤10%，须提供有资质的第三方出具的检测报告”。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711A17"/>
    <w:rsid w:val="76C271FC"/>
    <w:rsid w:val="7A6B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仿宋" w:eastAsia="仿宋" w:cstheme="minorBidi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2026-08-13T05:54:26Z</dcterms:created>
  <dc:creator>Administrator</dc:creator>
  <cp:lastModifiedBy>Administrator</cp:lastModifiedBy>
  <dcterms:modified xsi:type="dcterms:W3CDTF">2026-08-13T05:58:40Z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eyJoZGlkIjoiZTkwNjU5OWUxNDliNDE0OWYxN2I3OGI2ZjI3YmY0NmEiLCJ1c2VySWQiOiI0MjgwMjQ4NTcifQ==</vt:lpwstr>
  </property>
  <property fmtid="{D5CDD505-2E9C-101B-9397-08002B2CF9AE}" pid="4" name="ICV">
    <vt:lpwstr>295C29D0D86E4BCCAA2137122D1842F6_12</vt:lpwstr>
  </property>
</Properties>
</file>