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版本号：SDZC2026--07520260701001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2024年度非农建设补充耕地指标核定、2025年城市国土空间监测、永久基本农田储备库、国土变更调查及森林草原湿地调查监测项目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SDZC2026--075</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2024年度非农建设补充耕地指标核定、2025年城市国土空间监测、永久基本农田储备库、国土变更调查及森林草原湿地调查监测项目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2024年度非农建设补充耕地指标核定、2025年城市国土空间监测、永久基本农田储备库、国土变更调查及森林草原湿地调查监测项目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三原县2024年度非农建设补充耕地指标核定项目、三原县2025年度国土变更调查及森林草原湿地调查监测项目、三原县2025年城市国土空间监测项目、三原县建立永久基本农田储备库(永久基本农田地块调整和补划潜力摸底工作) 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采购包1（三原县2024年度非农建设补充耕地指标核定项目）：属于专门面向中小企业采购。</w:t>
      </w:r>
    </w:p>
    <w:p>
      <w:pPr>
        <w:pStyle w:val="null3"/>
      </w:pPr>
      <w:r>
        <w:rPr>
          <w:rFonts w:ascii="仿宋_GB2312" w:hAnsi="仿宋_GB2312" w:cs="仿宋_GB2312" w:eastAsia="仿宋_GB2312"/>
        </w:rPr>
        <w:t>采购包2（三原县2025年度国土变更调查及森林草原湿地调查监测项目）：属于专门面向中小企业采购。</w:t>
      </w:r>
    </w:p>
    <w:p>
      <w:pPr>
        <w:pStyle w:val="null3"/>
      </w:pPr>
      <w:r>
        <w:rPr>
          <w:rFonts w:ascii="仿宋_GB2312" w:hAnsi="仿宋_GB2312" w:cs="仿宋_GB2312" w:eastAsia="仿宋_GB2312"/>
        </w:rPr>
        <w:t>采购包3（三原县2025年城市国土空间监测项目）：属于专门面向中小企业采购。</w:t>
      </w:r>
    </w:p>
    <w:p>
      <w:pPr>
        <w:pStyle w:val="null3"/>
      </w:pPr>
      <w:r>
        <w:rPr>
          <w:rFonts w:ascii="仿宋_GB2312" w:hAnsi="仿宋_GB2312" w:cs="仿宋_GB2312" w:eastAsia="仿宋_GB2312"/>
        </w:rPr>
        <w:t>采购包4（三原县建立永久基本农田储备库(永久基本农田地块调整和补划潜力摸底工作) 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8、企业资质：投标人须具备行政主管部门颁发的测绘乙级（含乙级）及以上资质；</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8、企业资质：投标人须具备行政主管部门颁发的测绘乙级（含乙级）及以上资质；</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8、企业资质：投标人须具备行政主管部门颁发的测绘乙级（含乙级）及以上资质；</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8、企业资质：投标人须具备行政主管部门颁发的测绘乙级（含乙级）及以上资质；</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单位查询：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029-32368420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曹幸（03号工位）、姚文霄、王丽娇、魏蕾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采购包1：750,200.00元</w:t>
            </w:r>
          </w:p>
          <w:p>
            <w:pPr>
              <w:pStyle w:val="null3"/>
            </w:pPr>
            <w:r>
              <w:rPr>
                <w:rFonts w:ascii="仿宋_GB2312" w:hAnsi="仿宋_GB2312" w:cs="仿宋_GB2312" w:eastAsia="仿宋_GB2312"/>
              </w:rPr>
              <w:t>采购包2：1,618,500.00元</w:t>
            </w:r>
          </w:p>
          <w:p>
            <w:pPr>
              <w:pStyle w:val="null3"/>
            </w:pPr>
            <w:r>
              <w:rPr>
                <w:rFonts w:ascii="仿宋_GB2312" w:hAnsi="仿宋_GB2312" w:cs="仿宋_GB2312" w:eastAsia="仿宋_GB2312"/>
              </w:rPr>
              <w:t>采购包3：398,600.00元</w:t>
            </w:r>
          </w:p>
          <w:p>
            <w:pPr>
              <w:pStyle w:val="null3"/>
            </w:pPr>
            <w:r>
              <w:rPr>
                <w:rFonts w:ascii="仿宋_GB2312" w:hAnsi="仿宋_GB2312" w:cs="仿宋_GB2312" w:eastAsia="仿宋_GB2312"/>
              </w:rPr>
              <w:t>采购包4：399,500.00元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标准执行。 账户信息：1.开户行名称：陕西上德招标有限公司 2.开 户 行：西安银行股份有限公司文景路支行 3.账 号：7070 1151 0000 0135 22 4.西安银行文景路行号：313791000509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符合陕自然资耕发[2025]78号文件的所有要求及其他省市相关标准要求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符合省市及国家相关标准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符合国家及省市相关标准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符合国家及省市相关标准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2024年度非农建设补充耕地指标核定项目、三原县2025年度国土变更调查及森林草原湿地调查监测项目、三原县2025年城市国土空间监测项目、三原县建立永久基本农田储备库(永久基本农田地块调整和补划潜力摸底工作) 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750,200.00</w:t>
      </w:r>
    </w:p>
    <w:p>
      <w:pPr>
        <w:pStyle w:val="null3"/>
      </w:pPr>
      <w:r>
        <w:rPr>
          <w:rFonts w:ascii="仿宋_GB2312" w:hAnsi="仿宋_GB2312" w:cs="仿宋_GB2312" w:eastAsia="仿宋_GB2312"/>
        </w:rPr>
        <w:t>采购包最高限价（元）: 750,200.00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三原县2024年度非农建设补充耕地指标核定项目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1,618,500.00</w:t>
      </w:r>
    </w:p>
    <w:p>
      <w:pPr>
        <w:pStyle w:val="null3"/>
      </w:pPr>
      <w:r>
        <w:rPr>
          <w:rFonts w:ascii="仿宋_GB2312" w:hAnsi="仿宋_GB2312" w:cs="仿宋_GB2312" w:eastAsia="仿宋_GB2312"/>
        </w:rPr>
        <w:t>采购包最高限价（元）: 1,618,500.00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三原县2025年度国土变更调查及森林草原湿地调查监测项目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1,618,500.00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398,600.00</w:t>
      </w:r>
    </w:p>
    <w:p>
      <w:pPr>
        <w:pStyle w:val="null3"/>
      </w:pPr>
      <w:r>
        <w:rPr>
          <w:rFonts w:ascii="仿宋_GB2312" w:hAnsi="仿宋_GB2312" w:cs="仿宋_GB2312" w:eastAsia="仿宋_GB2312"/>
        </w:rPr>
        <w:t>采购包最高限价（元）: 398,600.00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三原县2025年城市国土空间监测项目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398,600.00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399,500.00</w:t>
      </w:r>
    </w:p>
    <w:p>
      <w:pPr>
        <w:pStyle w:val="null3"/>
      </w:pPr>
      <w:r>
        <w:rPr>
          <w:rFonts w:ascii="仿宋_GB2312" w:hAnsi="仿宋_GB2312" w:cs="仿宋_GB2312" w:eastAsia="仿宋_GB2312"/>
        </w:rPr>
        <w:t>采购包最高限价（元）: 399,500.00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三原县建立永久基本农田储备库(永久基本农田地块调整和补划潜力摸底工作) 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标的名称：三原县2024年度非农建设补充耕地指标核定项目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FF"/>
              </w:rPr>
              <w:t>服务内容及要求</w:t>
            </w:r>
          </w:p>
          <w:p>
            <w:pPr>
              <w:pStyle w:val="null3"/>
              <w:ind w:firstLine="482"/>
              <w:jc w:val="left"/>
            </w:pPr>
            <w:r>
              <w:rPr>
                <w:rFonts w:ascii="仿宋_GB2312" w:hAnsi="仿宋_GB2312" w:cs="仿宋_GB2312" w:eastAsia="仿宋_GB2312"/>
                <w:sz w:val="24"/>
                <w:b/>
                <w:color w:val="0000FF"/>
              </w:rPr>
              <w:t>一、工作目标：</w:t>
            </w:r>
            <w:r>
              <w:rPr>
                <w:rFonts w:ascii="仿宋_GB2312" w:hAnsi="仿宋_GB2312" w:cs="仿宋_GB2312" w:eastAsia="仿宋_GB2312"/>
                <w:sz w:val="24"/>
                <w:color w:val="0000FF"/>
              </w:rPr>
              <w:t>按照</w:t>
            </w:r>
            <w:r>
              <w:rPr>
                <w:rFonts w:ascii="仿宋_GB2312" w:hAnsi="仿宋_GB2312" w:cs="仿宋_GB2312" w:eastAsia="仿宋_GB2312"/>
                <w:sz w:val="24"/>
                <w:color w:val="0000FF"/>
              </w:rPr>
              <w:t>“县级初验、市级审核、省级复核”的程序，对三原县范围内各类实施主体依法依规开垦和恢复的耕地进行指标核定，形成合格的补充耕地指标，纳入耕地占补平衡管理，为陕西省高质量发展提供要素保障。</w:t>
            </w:r>
          </w:p>
          <w:p>
            <w:pPr>
              <w:pStyle w:val="null3"/>
              <w:ind w:firstLine="482"/>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工作内容</w:t>
            </w:r>
            <w:r>
              <w:rPr>
                <w:rFonts w:ascii="仿宋_GB2312" w:hAnsi="仿宋_GB2312" w:cs="仿宋_GB2312" w:eastAsia="仿宋_GB2312"/>
                <w:sz w:val="21"/>
                <w:color w:val="000000"/>
              </w:rPr>
              <w:t xml:space="preserve"> </w:t>
            </w:r>
          </w:p>
          <w:p>
            <w:pPr>
              <w:pStyle w:val="null3"/>
              <w:ind w:firstLine="480"/>
              <w:jc w:val="left"/>
            </w:pPr>
            <w:r>
              <w:rPr>
                <w:rFonts w:ascii="仿宋_GB2312" w:hAnsi="仿宋_GB2312" w:cs="仿宋_GB2312" w:eastAsia="仿宋_GB2312"/>
                <w:sz w:val="24"/>
                <w:color w:val="0000FF"/>
              </w:rPr>
              <w:t>须严格按照国家、省级相关技术规范及招标人要求，完成以下全部工作内容：</w:t>
            </w:r>
          </w:p>
          <w:p>
            <w:pPr>
              <w:pStyle w:val="null3"/>
              <w:ind w:firstLine="480"/>
              <w:jc w:val="left"/>
            </w:pPr>
            <w:r>
              <w:rPr>
                <w:rFonts w:ascii="仿宋_GB2312" w:hAnsi="仿宋_GB2312" w:cs="仿宋_GB2312" w:eastAsia="仿宋_GB2312"/>
                <w:sz w:val="24"/>
                <w:color w:val="0000FF"/>
              </w:rPr>
              <w:t xml:space="preserve">2.1 </w:t>
            </w:r>
            <w:r>
              <w:rPr>
                <w:rFonts w:ascii="仿宋_GB2312" w:hAnsi="仿宋_GB2312" w:cs="仿宋_GB2312" w:eastAsia="仿宋_GB2312"/>
                <w:sz w:val="24"/>
                <w:b/>
                <w:color w:val="0000FF"/>
              </w:rPr>
              <w:t>资料收集与处理：</w:t>
            </w:r>
            <w:r>
              <w:rPr>
                <w:rFonts w:ascii="仿宋_GB2312" w:hAnsi="仿宋_GB2312" w:cs="仿宋_GB2312" w:eastAsia="仿宋_GB2312"/>
                <w:sz w:val="24"/>
                <w:color w:val="0000FF"/>
              </w:rPr>
              <w:t>领取国家下发的基础底图，套合</w:t>
            </w:r>
            <w:r>
              <w:rPr>
                <w:rFonts w:ascii="仿宋_GB2312" w:hAnsi="仿宋_GB2312" w:cs="仿宋_GB2312" w:eastAsia="仿宋_GB2312"/>
                <w:sz w:val="24"/>
                <w:color w:val="0000FF"/>
              </w:rPr>
              <w:t>2024年度国土变更调查数据、坡度图、河道耕地数据等，并进行整理分析处理。</w:t>
            </w:r>
          </w:p>
          <w:p>
            <w:pPr>
              <w:pStyle w:val="null3"/>
              <w:ind w:firstLine="480"/>
              <w:jc w:val="left"/>
            </w:pPr>
            <w:r>
              <w:rPr>
                <w:rFonts w:ascii="仿宋_GB2312" w:hAnsi="仿宋_GB2312" w:cs="仿宋_GB2312" w:eastAsia="仿宋_GB2312"/>
                <w:sz w:val="24"/>
                <w:color w:val="0000FF"/>
              </w:rPr>
              <w:t xml:space="preserve">2.2 </w:t>
            </w:r>
            <w:r>
              <w:rPr>
                <w:rFonts w:ascii="仿宋_GB2312" w:hAnsi="仿宋_GB2312" w:cs="仿宋_GB2312" w:eastAsia="仿宋_GB2312"/>
                <w:sz w:val="24"/>
                <w:b/>
                <w:color w:val="0000FF"/>
              </w:rPr>
              <w:t>外业调查与举证：</w:t>
            </w:r>
            <w:r>
              <w:rPr>
                <w:rFonts w:ascii="仿宋_GB2312" w:hAnsi="仿宋_GB2312" w:cs="仿宋_GB2312" w:eastAsia="仿宋_GB2312"/>
                <w:sz w:val="24"/>
                <w:color w:val="0000FF"/>
              </w:rPr>
              <w:t>利用陕西自然资源调查监测云平台，对核定范围内的每个地块进行外业实地调查、拍照举证，做到逐地覆盖、照片可溯源，不得缺漏、补拍、造假。</w:t>
            </w:r>
          </w:p>
          <w:p>
            <w:pPr>
              <w:pStyle w:val="null3"/>
              <w:ind w:firstLine="480"/>
              <w:jc w:val="left"/>
            </w:pPr>
            <w:r>
              <w:rPr>
                <w:rFonts w:ascii="仿宋_GB2312" w:hAnsi="仿宋_GB2312" w:cs="仿宋_GB2312" w:eastAsia="仿宋_GB2312"/>
                <w:sz w:val="24"/>
                <w:color w:val="0000FF"/>
              </w:rPr>
              <w:t xml:space="preserve">2.3 </w:t>
            </w:r>
            <w:r>
              <w:rPr>
                <w:rFonts w:ascii="仿宋_GB2312" w:hAnsi="仿宋_GB2312" w:cs="仿宋_GB2312" w:eastAsia="仿宋_GB2312"/>
                <w:sz w:val="24"/>
                <w:b/>
                <w:color w:val="0000FF"/>
              </w:rPr>
              <w:t>内业审核与填报：</w:t>
            </w:r>
            <w:r>
              <w:rPr>
                <w:rFonts w:ascii="仿宋_GB2312" w:hAnsi="仿宋_GB2312" w:cs="仿宋_GB2312" w:eastAsia="仿宋_GB2312"/>
                <w:sz w:val="24"/>
                <w:color w:val="0000FF"/>
              </w:rPr>
              <w:t>利用上述平台对举证图斑进行内业审核、修改，并准确填报相关信息。</w:t>
            </w:r>
          </w:p>
          <w:p>
            <w:pPr>
              <w:pStyle w:val="null3"/>
              <w:ind w:firstLine="480"/>
              <w:jc w:val="left"/>
            </w:pPr>
            <w:r>
              <w:rPr>
                <w:rFonts w:ascii="仿宋_GB2312" w:hAnsi="仿宋_GB2312" w:cs="仿宋_GB2312" w:eastAsia="仿宋_GB2312"/>
                <w:sz w:val="24"/>
                <w:color w:val="0000FF"/>
              </w:rPr>
              <w:t xml:space="preserve">2.4 </w:t>
            </w:r>
            <w:r>
              <w:rPr>
                <w:rFonts w:ascii="仿宋_GB2312" w:hAnsi="仿宋_GB2312" w:cs="仿宋_GB2312" w:eastAsia="仿宋_GB2312"/>
                <w:sz w:val="24"/>
                <w:b/>
                <w:color w:val="0000FF"/>
              </w:rPr>
              <w:t>制作正射影像图：</w:t>
            </w:r>
            <w:r>
              <w:rPr>
                <w:rFonts w:ascii="仿宋_GB2312" w:hAnsi="仿宋_GB2312" w:cs="仿宋_GB2312" w:eastAsia="仿宋_GB2312"/>
                <w:sz w:val="24"/>
                <w:color w:val="0000FF"/>
              </w:rPr>
              <w:t>对每个核定地块进行航拍，制作并提交标识新增耕地位置的高清正射影像图（</w:t>
            </w:r>
            <w:r>
              <w:rPr>
                <w:rFonts w:ascii="仿宋_GB2312" w:hAnsi="仿宋_GB2312" w:cs="仿宋_GB2312" w:eastAsia="仿宋_GB2312"/>
                <w:sz w:val="24"/>
                <w:color w:val="0000FF"/>
              </w:rPr>
              <w:t>PDF格式）。</w:t>
            </w:r>
          </w:p>
          <w:p>
            <w:pPr>
              <w:pStyle w:val="null3"/>
              <w:ind w:firstLine="480"/>
              <w:jc w:val="left"/>
            </w:pPr>
            <w:r>
              <w:rPr>
                <w:rFonts w:ascii="仿宋_GB2312" w:hAnsi="仿宋_GB2312" w:cs="仿宋_GB2312" w:eastAsia="仿宋_GB2312"/>
                <w:sz w:val="24"/>
                <w:color w:val="0000FF"/>
              </w:rPr>
              <w:t xml:space="preserve">2.5 </w:t>
            </w:r>
            <w:r>
              <w:rPr>
                <w:rFonts w:ascii="仿宋_GB2312" w:hAnsi="仿宋_GB2312" w:cs="仿宋_GB2312" w:eastAsia="仿宋_GB2312"/>
                <w:sz w:val="24"/>
                <w:b/>
                <w:color w:val="0000FF"/>
              </w:rPr>
              <w:t>配合核查与整改：</w:t>
            </w:r>
            <w:r>
              <w:rPr>
                <w:rFonts w:ascii="仿宋_GB2312" w:hAnsi="仿宋_GB2312" w:cs="仿宋_GB2312" w:eastAsia="仿宋_GB2312"/>
                <w:sz w:val="24"/>
                <w:color w:val="0000FF"/>
              </w:rPr>
              <w:t>积极配合省、市、县三级自然资源和农业农村部门开展的核查工作，对核查中发现的问题图斑及时进行外业或内业整改，并修改完善数据成果。</w:t>
            </w:r>
          </w:p>
          <w:p>
            <w:pPr>
              <w:pStyle w:val="null3"/>
              <w:ind w:firstLine="480"/>
              <w:jc w:val="left"/>
            </w:pPr>
            <w:r>
              <w:rPr>
                <w:rFonts w:ascii="仿宋_GB2312" w:hAnsi="仿宋_GB2312" w:cs="仿宋_GB2312" w:eastAsia="仿宋_GB2312"/>
                <w:sz w:val="24"/>
                <w:color w:val="0000FF"/>
              </w:rPr>
              <w:t xml:space="preserve">2.6 </w:t>
            </w:r>
            <w:r>
              <w:rPr>
                <w:rFonts w:ascii="仿宋_GB2312" w:hAnsi="仿宋_GB2312" w:cs="仿宋_GB2312" w:eastAsia="仿宋_GB2312"/>
                <w:sz w:val="24"/>
                <w:b/>
                <w:color w:val="0000FF"/>
              </w:rPr>
              <w:t>报告编制与成果汇交：</w:t>
            </w:r>
            <w:r>
              <w:rPr>
                <w:rFonts w:ascii="仿宋_GB2312" w:hAnsi="仿宋_GB2312" w:cs="仿宋_GB2312" w:eastAsia="仿宋_GB2312"/>
                <w:sz w:val="24"/>
                <w:color w:val="0000FF"/>
              </w:rPr>
              <w:t>编制项目工作报告、费用预算报告等全套技术及管理成果，并按程序及时汇交至招标人及上级指定平台（陕西省耕地占补平衡监管平台）。</w:t>
            </w:r>
          </w:p>
          <w:p>
            <w:pPr>
              <w:pStyle w:val="null3"/>
              <w:ind w:firstLine="480"/>
              <w:jc w:val="left"/>
            </w:pPr>
            <w:r>
              <w:rPr>
                <w:rFonts w:ascii="仿宋_GB2312" w:hAnsi="仿宋_GB2312" w:cs="仿宋_GB2312" w:eastAsia="仿宋_GB2312"/>
                <w:sz w:val="24"/>
                <w:color w:val="0000FF"/>
              </w:rPr>
              <w:t xml:space="preserve">2.7 </w:t>
            </w:r>
            <w:r>
              <w:rPr>
                <w:rFonts w:ascii="仿宋_GB2312" w:hAnsi="仿宋_GB2312" w:cs="仿宋_GB2312" w:eastAsia="仿宋_GB2312"/>
                <w:sz w:val="24"/>
                <w:b/>
                <w:color w:val="0000FF"/>
              </w:rPr>
              <w:t>配合项目验收：</w:t>
            </w:r>
            <w:r>
              <w:rPr>
                <w:rFonts w:ascii="仿宋_GB2312" w:hAnsi="仿宋_GB2312" w:cs="仿宋_GB2312" w:eastAsia="仿宋_GB2312"/>
                <w:sz w:val="24"/>
                <w:color w:val="0000FF"/>
              </w:rPr>
              <w:t>准备验收材料，配合招标人组织的专家及上级部门验收工作。</w:t>
            </w:r>
          </w:p>
          <w:p>
            <w:pPr>
              <w:pStyle w:val="null3"/>
              <w:ind w:firstLine="480"/>
              <w:jc w:val="left"/>
            </w:pPr>
            <w:r>
              <w:rPr>
                <w:rFonts w:ascii="仿宋_GB2312" w:hAnsi="仿宋_GB2312" w:cs="仿宋_GB2312" w:eastAsia="仿宋_GB2312"/>
                <w:sz w:val="24"/>
                <w:color w:val="0000FF"/>
              </w:rPr>
              <w:t>2.8 严禁转包、分包该项目，非经招标人同意不得随意变更项目成员。</w:t>
            </w:r>
          </w:p>
          <w:p>
            <w:pPr>
              <w:pStyle w:val="null3"/>
              <w:ind w:firstLine="482"/>
            </w:pPr>
            <w:r>
              <w:rPr>
                <w:rFonts w:ascii="仿宋_GB2312" w:hAnsi="仿宋_GB2312" w:cs="仿宋_GB2312" w:eastAsia="仿宋_GB2312"/>
                <w:sz w:val="24"/>
                <w:b/>
                <w:color w:val="0000FF"/>
              </w:rPr>
              <w:t>三、</w:t>
            </w:r>
            <w:r>
              <w:rPr>
                <w:rFonts w:ascii="仿宋_GB2312" w:hAnsi="仿宋_GB2312" w:cs="仿宋_GB2312" w:eastAsia="仿宋_GB2312"/>
                <w:sz w:val="24"/>
                <w:b/>
                <w:color w:val="0000FF"/>
              </w:rPr>
              <w:t>技术标准与成果要求</w:t>
            </w:r>
            <w:r>
              <w:rPr>
                <w:rFonts w:ascii="仿宋_GB2312" w:hAnsi="仿宋_GB2312" w:cs="仿宋_GB2312" w:eastAsia="仿宋_GB2312"/>
                <w:sz w:val="21"/>
                <w:color w:val="000000"/>
              </w:rPr>
              <w:t xml:space="preserve"> </w:t>
            </w:r>
          </w:p>
          <w:p>
            <w:pPr>
              <w:pStyle w:val="null3"/>
              <w:ind w:firstLine="480"/>
              <w:jc w:val="left"/>
            </w:pPr>
            <w:r>
              <w:rPr>
                <w:rFonts w:ascii="仿宋_GB2312" w:hAnsi="仿宋_GB2312" w:cs="仿宋_GB2312" w:eastAsia="仿宋_GB2312"/>
                <w:sz w:val="24"/>
                <w:color w:val="0000FF"/>
              </w:rPr>
              <w:t>3.1 本项目执行《国土调查类项目支出标准(2023)》(自然资办函[2023]1289号)、《测绘类项目支出标准》（2023年）、《测绘生产成本费用定额计算细则》(财建[2009]17号)、《关于我省工程造价咨询服务收费管理有关问题的通知》（陕价行发〔2012〕72 号）、国家发改委发布了《关于进一步放开建设项目专</w:t>
            </w:r>
            <w:r>
              <w:rPr>
                <w:rFonts w:ascii="仿宋_GB2312" w:hAnsi="仿宋_GB2312" w:cs="仿宋_GB2312" w:eastAsia="仿宋_GB2312"/>
                <w:sz w:val="24"/>
                <w:color w:val="0000FF"/>
              </w:rPr>
              <w:t>业服务价格的通知》（发改价格〔</w:t>
            </w:r>
            <w:r>
              <w:rPr>
                <w:rFonts w:ascii="仿宋_GB2312" w:hAnsi="仿宋_GB2312" w:cs="仿宋_GB2312" w:eastAsia="仿宋_GB2312"/>
                <w:sz w:val="24"/>
                <w:color w:val="0000FF"/>
              </w:rPr>
              <w:t>2015〕299 号）等国家及行业现行有效标准。</w:t>
            </w:r>
          </w:p>
          <w:p>
            <w:pPr>
              <w:pStyle w:val="null3"/>
              <w:ind w:firstLine="480"/>
              <w:jc w:val="left"/>
            </w:pPr>
            <w:r>
              <w:rPr>
                <w:rFonts w:ascii="仿宋_GB2312" w:hAnsi="仿宋_GB2312" w:cs="仿宋_GB2312" w:eastAsia="仿宋_GB2312"/>
                <w:sz w:val="24"/>
                <w:color w:val="0000FF"/>
              </w:rPr>
              <w:t>3.2 最终成果必须符合陕自然资耕发[2025]78号文件的所有要求，确保通过市级审核和省级复核，如因中标单位原因导致未通过审核或符合，中标单位无偿返工至合格，由此产生的费用和损失由中标单位自行承担。</w:t>
            </w:r>
          </w:p>
          <w:p>
            <w:pPr>
              <w:pStyle w:val="null3"/>
              <w:ind w:firstLine="480"/>
              <w:jc w:val="left"/>
            </w:pPr>
            <w:r>
              <w:rPr>
                <w:rFonts w:ascii="仿宋_GB2312" w:hAnsi="仿宋_GB2312" w:cs="仿宋_GB2312" w:eastAsia="仿宋_GB2312"/>
                <w:sz w:val="24"/>
                <w:color w:val="0000FF"/>
              </w:rPr>
              <w:t>3.3 中标单位提交的成果包括：完整的矢量数据、举证信息、高清正射影像图、全套工作报告及表格、在监管平台填报的完整电子数据等。</w:t>
            </w:r>
          </w:p>
          <w:p>
            <w:pPr>
              <w:pStyle w:val="null3"/>
              <w:ind w:firstLine="480"/>
              <w:jc w:val="left"/>
            </w:pPr>
            <w:r>
              <w:rPr>
                <w:rFonts w:ascii="仿宋_GB2312" w:hAnsi="仿宋_GB2312" w:cs="仿宋_GB2312" w:eastAsia="仿宋_GB2312"/>
                <w:sz w:val="24"/>
                <w:color w:val="0000FF"/>
              </w:rPr>
              <w:t xml:space="preserve">3.4 </w:t>
            </w:r>
            <w:r>
              <w:rPr>
                <w:rFonts w:ascii="仿宋_GB2312" w:hAnsi="仿宋_GB2312" w:cs="仿宋_GB2312" w:eastAsia="仿宋_GB2312"/>
                <w:sz w:val="24"/>
                <w:color w:val="0000FF"/>
              </w:rPr>
              <w:t>中标单位</w:t>
            </w:r>
            <w:r>
              <w:rPr>
                <w:rFonts w:ascii="仿宋_GB2312" w:hAnsi="仿宋_GB2312" w:cs="仿宋_GB2312" w:eastAsia="仿宋_GB2312"/>
                <w:sz w:val="24"/>
                <w:color w:val="0000FF"/>
                <w:shd w:fill="FFFFFF" w:val="clear"/>
              </w:rPr>
              <w:t>为履行本合同而向</w:t>
            </w:r>
            <w:r>
              <w:rPr>
                <w:rFonts w:ascii="仿宋_GB2312" w:hAnsi="仿宋_GB2312" w:cs="仿宋_GB2312" w:eastAsia="仿宋_GB2312"/>
                <w:sz w:val="24"/>
                <w:color w:val="0000FF"/>
                <w:shd w:fill="FFFFFF" w:val="clear"/>
              </w:rPr>
              <w:t>招标人</w:t>
            </w:r>
            <w:r>
              <w:rPr>
                <w:rFonts w:ascii="仿宋_GB2312" w:hAnsi="仿宋_GB2312" w:cs="仿宋_GB2312" w:eastAsia="仿宋_GB2312"/>
                <w:sz w:val="24"/>
                <w:color w:val="0000FF"/>
                <w:shd w:fill="FFFFFF" w:val="clear"/>
              </w:rPr>
              <w:t>提交的最终成果文件（包括矢量数据、举证信息、正射影像图、工作报告等）的知识产权及所有权归属于</w:t>
            </w:r>
            <w:r>
              <w:rPr>
                <w:rFonts w:ascii="仿宋_GB2312" w:hAnsi="仿宋_GB2312" w:cs="仿宋_GB2312" w:eastAsia="仿宋_GB2312"/>
                <w:sz w:val="24"/>
                <w:color w:val="0000FF"/>
                <w:shd w:fill="FFFFFF" w:val="clear"/>
              </w:rPr>
              <w:t>招标人</w:t>
            </w:r>
            <w:r>
              <w:rPr>
                <w:rFonts w:ascii="仿宋_GB2312" w:hAnsi="仿宋_GB2312" w:cs="仿宋_GB2312" w:eastAsia="仿宋_GB2312"/>
                <w:sz w:val="24"/>
                <w:color w:val="0000FF"/>
                <w:shd w:fill="FFFFFF" w:val="clear"/>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标的名称：三原县2025年度国土变更调查及森林草原湿地调查监测项目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color w:val="0000FF"/>
              </w:rPr>
              <w:t>服务内容及要求</w:t>
            </w:r>
          </w:p>
          <w:p>
            <w:pPr>
              <w:pStyle w:val="null3"/>
              <w:ind w:firstLine="420"/>
              <w:jc w:val="left"/>
            </w:pPr>
            <w:r>
              <w:rPr>
                <w:rFonts w:ascii="仿宋_GB2312" w:hAnsi="仿宋_GB2312" w:cs="仿宋_GB2312" w:eastAsia="仿宋_GB2312"/>
                <w:sz w:val="24"/>
                <w:b/>
                <w:color w:val="0000FF"/>
              </w:rPr>
              <w:t>第一条</w:t>
            </w:r>
            <w:r>
              <w:rPr>
                <w:rFonts w:ascii="仿宋_GB2312" w:hAnsi="仿宋_GB2312" w:cs="仿宋_GB2312" w:eastAsia="仿宋_GB2312"/>
                <w:sz w:val="24"/>
                <w:b/>
                <w:color w:val="0000FF"/>
              </w:rPr>
              <w:t>工作内容</w:t>
            </w:r>
          </w:p>
          <w:p>
            <w:pPr>
              <w:pStyle w:val="null3"/>
              <w:ind w:firstLine="482"/>
              <w:jc w:val="left"/>
            </w:pPr>
            <w:r>
              <w:rPr>
                <w:rFonts w:ascii="仿宋_GB2312" w:hAnsi="仿宋_GB2312" w:cs="仿宋_GB2312" w:eastAsia="仿宋_GB2312"/>
                <w:sz w:val="24"/>
                <w:b/>
                <w:color w:val="0000FF"/>
              </w:rPr>
              <w:t>1、日常变更</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1）日常监测及季度监测图斑调查举证及数据分析建设工作</w:t>
            </w:r>
          </w:p>
          <w:p>
            <w:pPr>
              <w:pStyle w:val="null3"/>
              <w:ind w:firstLine="480"/>
              <w:jc w:val="left"/>
            </w:pPr>
            <w:r>
              <w:rPr>
                <w:rFonts w:ascii="仿宋_GB2312" w:hAnsi="仿宋_GB2312" w:cs="仿宋_GB2312" w:eastAsia="仿宋_GB2312"/>
                <w:sz w:val="24"/>
                <w:color w:val="0000FF"/>
              </w:rPr>
              <w:t>按照以实地现状认定地类的原则，对部、省下发遥感监测图斑及县级补充提取的变化图斑进行外业实地调查及举证。利用</w:t>
            </w:r>
            <w:r>
              <w:rPr>
                <w:rFonts w:ascii="仿宋_GB2312" w:hAnsi="仿宋_GB2312" w:cs="仿宋_GB2312" w:eastAsia="仿宋_GB2312"/>
                <w:sz w:val="24"/>
                <w:color w:val="0000FF"/>
              </w:rPr>
              <w:t>“互联网+”举证软件，对需举证的图斑地块拍摄包含图斑实地卫星定位坐标、拍摄方位角、拍摄时间、实地照片及举证说明等综合信息的加密举证数据包，上传至统一举证平台。</w:t>
            </w:r>
          </w:p>
          <w:p>
            <w:pPr>
              <w:pStyle w:val="null3"/>
              <w:ind w:firstLine="480"/>
              <w:jc w:val="left"/>
            </w:pPr>
            <w:r>
              <w:rPr>
                <w:rFonts w:ascii="仿宋_GB2312" w:hAnsi="仿宋_GB2312" w:cs="仿宋_GB2312" w:eastAsia="仿宋_GB2312"/>
                <w:sz w:val="24"/>
                <w:color w:val="0000FF"/>
              </w:rPr>
              <w:t>并对完成外业举证的监测图斑进行分类解析，按实际现状修改图斑边界，形成矢量数据，并将符合变更条件的图斑逐级上报。</w:t>
            </w:r>
          </w:p>
          <w:p>
            <w:pPr>
              <w:pStyle w:val="null3"/>
              <w:ind w:firstLine="482"/>
              <w:jc w:val="left"/>
            </w:pPr>
            <w:r>
              <w:rPr>
                <w:rFonts w:ascii="仿宋_GB2312" w:hAnsi="仿宋_GB2312" w:cs="仿宋_GB2312" w:eastAsia="仿宋_GB2312"/>
                <w:sz w:val="24"/>
                <w:b/>
                <w:color w:val="0000FF"/>
              </w:rPr>
              <w:t>2、年度变更</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1）地类调查及举证</w:t>
            </w:r>
          </w:p>
          <w:p>
            <w:pPr>
              <w:pStyle w:val="null3"/>
              <w:ind w:firstLine="480"/>
              <w:jc w:val="left"/>
            </w:pPr>
            <w:r>
              <w:rPr>
                <w:rFonts w:ascii="仿宋_GB2312" w:hAnsi="仿宋_GB2312" w:cs="仿宋_GB2312" w:eastAsia="仿宋_GB2312"/>
                <w:sz w:val="24"/>
                <w:color w:val="0000FF"/>
              </w:rPr>
              <w:t>按照以实地现状认定地类的原则，对部、省下发遥感监测图斑及县级补充提取的变化图斑进行外业实地调查及举证。利用</w:t>
            </w:r>
            <w:r>
              <w:rPr>
                <w:rFonts w:ascii="仿宋_GB2312" w:hAnsi="仿宋_GB2312" w:cs="仿宋_GB2312" w:eastAsia="仿宋_GB2312"/>
                <w:sz w:val="24"/>
                <w:color w:val="0000FF"/>
              </w:rPr>
              <w:t>“互联网+”举证软件，对需举证的图斑地块拍摄包含图斑实地卫星定位坐标、拍摄方位角、拍摄时间、实地照片及举证说明等综合信息的加密举证数据包，上传至统一举证平台。</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2）建立年度变更调查数据库</w:t>
            </w:r>
          </w:p>
          <w:p>
            <w:pPr>
              <w:pStyle w:val="null3"/>
              <w:ind w:firstLine="480"/>
              <w:jc w:val="left"/>
            </w:pPr>
            <w:r>
              <w:rPr>
                <w:rFonts w:ascii="仿宋_GB2312" w:hAnsi="仿宋_GB2312" w:cs="仿宋_GB2312" w:eastAsia="仿宋_GB2312"/>
                <w:sz w:val="24"/>
                <w:color w:val="0000FF"/>
              </w:rPr>
              <w:t>按照统一的年度国土变更调查数据更新技术要求、数据库变更方法、标准及相关质量要求，采用增量更新的方式，建立更新后的国土调查数据库及年度更新数据包成果，并逐级上报。</w:t>
            </w:r>
          </w:p>
          <w:p>
            <w:pPr>
              <w:pStyle w:val="null3"/>
              <w:ind w:firstLine="482"/>
              <w:jc w:val="left"/>
            </w:pPr>
            <w:r>
              <w:rPr>
                <w:rFonts w:ascii="仿宋_GB2312" w:hAnsi="仿宋_GB2312" w:cs="仿宋_GB2312" w:eastAsia="仿宋_GB2312"/>
                <w:sz w:val="24"/>
                <w:b/>
                <w:color w:val="0000FF"/>
              </w:rPr>
              <w:t>3、耕地资源分区分类评价</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1）样点布设及外业调查</w:t>
            </w:r>
          </w:p>
          <w:p>
            <w:pPr>
              <w:pStyle w:val="null3"/>
              <w:ind w:firstLine="480"/>
              <w:jc w:val="left"/>
            </w:pPr>
            <w:r>
              <w:rPr>
                <w:rFonts w:ascii="仿宋_GB2312" w:hAnsi="仿宋_GB2312" w:cs="仿宋_GB2312" w:eastAsia="仿宋_GB2312"/>
                <w:sz w:val="24"/>
                <w:color w:val="0000FF"/>
              </w:rPr>
              <w:t>外业调查包括年度更新样点采样和调查。结合需开展外业实地补充调查的耕地图斑数量，实测有关指标，收集土壤样品，填写调查分析表等。</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2）内业数据分析及赋值。对收集的资料或外业补充调查的成果按照分类技术要求进行内业处理统计，相关指标赋值等工作。</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3）数据库建设</w:t>
            </w:r>
          </w:p>
          <w:p>
            <w:pPr>
              <w:pStyle w:val="null3"/>
              <w:ind w:firstLine="480"/>
              <w:jc w:val="left"/>
            </w:pPr>
            <w:r>
              <w:rPr>
                <w:rFonts w:ascii="仿宋_GB2312" w:hAnsi="仿宋_GB2312" w:cs="仿宋_GB2312" w:eastAsia="仿宋_GB2312"/>
                <w:sz w:val="24"/>
                <w:color w:val="0000FF"/>
              </w:rPr>
              <w:t>根据采集的样点数据及外业调查数据，以及土壤样品的检测出的各种指标和有机质的情况，建立年度耕地资源质量分类数据库。</w:t>
            </w:r>
          </w:p>
          <w:p>
            <w:pPr>
              <w:pStyle w:val="null3"/>
              <w:ind w:firstLine="482"/>
              <w:jc w:val="left"/>
            </w:pPr>
            <w:r>
              <w:rPr>
                <w:rFonts w:ascii="仿宋_GB2312" w:hAnsi="仿宋_GB2312" w:cs="仿宋_GB2312" w:eastAsia="仿宋_GB2312"/>
                <w:sz w:val="24"/>
                <w:b/>
                <w:color w:val="0000FF"/>
              </w:rPr>
              <w:t>4、三原县历史流出耕地过渡期恢复方案</w:t>
            </w:r>
          </w:p>
          <w:p>
            <w:pPr>
              <w:pStyle w:val="null3"/>
              <w:ind w:firstLine="480"/>
              <w:jc w:val="left"/>
            </w:pPr>
            <w:r>
              <w:rPr>
                <w:rFonts w:ascii="仿宋_GB2312" w:hAnsi="仿宋_GB2312" w:cs="仿宋_GB2312" w:eastAsia="仿宋_GB2312"/>
                <w:sz w:val="24"/>
                <w:color w:val="0000FF"/>
              </w:rPr>
              <w:t>依据</w:t>
            </w:r>
            <w:r>
              <w:rPr>
                <w:rFonts w:ascii="仿宋_GB2312" w:hAnsi="仿宋_GB2312" w:cs="仿宋_GB2312" w:eastAsia="仿宋_GB2312"/>
                <w:sz w:val="24"/>
                <w:color w:val="0000FF"/>
              </w:rPr>
              <w:t>2019-2024年度国土变更调查数据成果，2019-2024年遥感影像、历年耕地流出情况数据统计、三原县国土空间规划成果、河湖最高水位线、林业管理线等相关数据，</w:t>
            </w:r>
            <w:r>
              <w:rPr>
                <w:rFonts w:ascii="仿宋_GB2312" w:hAnsi="仿宋_GB2312" w:cs="仿宋_GB2312" w:eastAsia="仿宋_GB2312"/>
                <w:sz w:val="24"/>
                <w:color w:val="0000FF"/>
              </w:rPr>
              <w:t>通过遥感影像解译与图斑提取和外业调查及举证，以县级行政区为单位，根据分类处置摸底结果形成方案初步测算统计表、方案调查统计表以及历史流出耕地分类处置矢量数据，建立历史流出耕地分类数据库，编制历史流出耕地过渡期恢复方案摸底工作成果的报告</w:t>
            </w:r>
            <w:r>
              <w:rPr>
                <w:rFonts w:ascii="仿宋_GB2312" w:hAnsi="仿宋_GB2312" w:cs="仿宋_GB2312" w:eastAsia="仿宋_GB2312"/>
                <w:sz w:val="24"/>
                <w:color w:val="0000FF"/>
              </w:rPr>
              <w:t>成果，并逐级上报。</w:t>
            </w:r>
          </w:p>
          <w:p>
            <w:pPr>
              <w:pStyle w:val="null3"/>
              <w:ind w:firstLine="420"/>
              <w:jc w:val="left"/>
            </w:pPr>
            <w:r>
              <w:rPr>
                <w:rFonts w:ascii="仿宋_GB2312" w:hAnsi="仿宋_GB2312" w:cs="仿宋_GB2312" w:eastAsia="仿宋_GB2312"/>
                <w:sz w:val="24"/>
                <w:b/>
                <w:color w:val="0000FF"/>
              </w:rPr>
              <w:t>第二条</w:t>
            </w:r>
            <w:r>
              <w:rPr>
                <w:rFonts w:ascii="仿宋_GB2312" w:hAnsi="仿宋_GB2312" w:cs="仿宋_GB2312" w:eastAsia="仿宋_GB2312"/>
                <w:sz w:val="24"/>
                <w:b/>
                <w:color w:val="0000FF"/>
              </w:rPr>
              <w:t>服务期限及质量要求</w:t>
            </w:r>
          </w:p>
          <w:p>
            <w:pPr>
              <w:pStyle w:val="null3"/>
              <w:ind w:firstLine="420"/>
              <w:jc w:val="left"/>
            </w:pPr>
            <w:r>
              <w:rPr>
                <w:rFonts w:ascii="仿宋_GB2312" w:hAnsi="仿宋_GB2312" w:cs="仿宋_GB2312" w:eastAsia="仿宋_GB2312"/>
                <w:sz w:val="24"/>
                <w:color w:val="0000FF"/>
              </w:rPr>
              <w:t>1、服务期：部级审核通过为止。</w:t>
            </w:r>
          </w:p>
          <w:p>
            <w:pPr>
              <w:pStyle w:val="null3"/>
              <w:ind w:firstLine="420"/>
              <w:jc w:val="left"/>
            </w:pPr>
            <w:r>
              <w:rPr>
                <w:rFonts w:ascii="仿宋_GB2312" w:hAnsi="仿宋_GB2312" w:cs="仿宋_GB2312" w:eastAsia="仿宋_GB2312"/>
                <w:sz w:val="24"/>
                <w:color w:val="0000FF"/>
              </w:rPr>
              <w:t>2、质量要求：合格。</w:t>
            </w:r>
          </w:p>
          <w:p>
            <w:pPr>
              <w:pStyle w:val="null3"/>
              <w:ind w:firstLine="420"/>
              <w:jc w:val="left"/>
            </w:pPr>
            <w:r>
              <w:rPr>
                <w:rFonts w:ascii="仿宋_GB2312" w:hAnsi="仿宋_GB2312" w:cs="仿宋_GB2312" w:eastAsia="仿宋_GB2312"/>
                <w:sz w:val="24"/>
                <w:color w:val="0000FF"/>
              </w:rPr>
              <w:t>3、成果文件数量及形式：以国家要求为准。</w:t>
            </w:r>
          </w:p>
          <w:p>
            <w:pPr>
              <w:pStyle w:val="null3"/>
              <w:ind w:firstLine="420"/>
              <w:jc w:val="left"/>
            </w:pPr>
            <w:r>
              <w:rPr>
                <w:rFonts w:ascii="仿宋_GB2312" w:hAnsi="仿宋_GB2312" w:cs="仿宋_GB2312" w:eastAsia="仿宋_GB2312"/>
                <w:sz w:val="24"/>
                <w:color w:val="0000FF"/>
              </w:rPr>
              <w:t>4、验收：以部级审核通过为准。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标的名称：三原县2025年城市国土空间监测项目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color w:val="0000FF"/>
              </w:rPr>
              <w:t>服务内容及要求</w:t>
            </w:r>
          </w:p>
          <w:p>
            <w:pPr>
              <w:pStyle w:val="null3"/>
              <w:ind w:firstLine="480"/>
            </w:pPr>
            <w:r>
              <w:rPr>
                <w:rFonts w:ascii="仿宋_GB2312" w:hAnsi="仿宋_GB2312" w:cs="仿宋_GB2312" w:eastAsia="仿宋_GB2312"/>
                <w:sz w:val="24"/>
                <w:color w:val="0000FF"/>
              </w:rPr>
              <w:t>按照</w:t>
            </w:r>
            <w:r>
              <w:rPr>
                <w:rFonts w:ascii="仿宋_GB2312" w:hAnsi="仿宋_GB2312" w:cs="仿宋_GB2312" w:eastAsia="仿宋_GB2312"/>
                <w:sz w:val="24"/>
                <w:color w:val="0000FF"/>
              </w:rPr>
              <w:t>自然资源部办公厅《关于开展</w:t>
            </w:r>
            <w:r>
              <w:rPr>
                <w:rFonts w:ascii="仿宋_GB2312" w:hAnsi="仿宋_GB2312" w:cs="仿宋_GB2312" w:eastAsia="仿宋_GB2312"/>
                <w:sz w:val="24"/>
                <w:color w:val="0000FF"/>
              </w:rPr>
              <w:t>2025年城市国土空间监测工作的通知》（自然资办函〔2025〕1311号）</w:t>
            </w:r>
            <w:r>
              <w:rPr>
                <w:rFonts w:ascii="仿宋_GB2312" w:hAnsi="仿宋_GB2312" w:cs="仿宋_GB2312" w:eastAsia="仿宋_GB2312"/>
                <w:sz w:val="24"/>
                <w:color w:val="0000FF"/>
              </w:rPr>
              <w:t>、陕西省自然资源厅办公室《关于做好</w:t>
            </w:r>
            <w:r>
              <w:rPr>
                <w:rFonts w:ascii="仿宋_GB2312" w:hAnsi="仿宋_GB2312" w:cs="仿宋_GB2312" w:eastAsia="仿宋_GB2312"/>
                <w:sz w:val="24"/>
                <w:color w:val="0000FF"/>
              </w:rPr>
              <w:t>2025年城市国土空间监测工作的通知》（陕自然资办发〔2025〕223号）、</w:t>
            </w:r>
            <w:r>
              <w:rPr>
                <w:rFonts w:ascii="仿宋_GB2312" w:hAnsi="仿宋_GB2312" w:cs="仿宋_GB2312" w:eastAsia="仿宋_GB2312"/>
                <w:sz w:val="24"/>
                <w:color w:val="0000FF"/>
              </w:rPr>
              <w:t>《</w:t>
            </w:r>
            <w:r>
              <w:rPr>
                <w:rFonts w:ascii="仿宋_GB2312" w:hAnsi="仿宋_GB2312" w:cs="仿宋_GB2312" w:eastAsia="仿宋_GB2312"/>
                <w:sz w:val="24"/>
                <w:color w:val="0000FF"/>
              </w:rPr>
              <w:t>2025年城市国土空间监测培训相关PPT教案》</w:t>
            </w:r>
            <w:r>
              <w:rPr>
                <w:rFonts w:ascii="仿宋_GB2312" w:hAnsi="仿宋_GB2312" w:cs="仿宋_GB2312" w:eastAsia="仿宋_GB2312"/>
                <w:sz w:val="24"/>
                <w:color w:val="0000FF"/>
              </w:rPr>
              <w:t>要求，结合</w:t>
            </w:r>
            <w:r>
              <w:rPr>
                <w:rFonts w:ascii="仿宋_GB2312" w:hAnsi="仿宋_GB2312" w:cs="仿宋_GB2312" w:eastAsia="仿宋_GB2312"/>
                <w:sz w:val="24"/>
                <w:color w:val="0000FF"/>
              </w:rPr>
              <w:t>三原县</w:t>
            </w:r>
            <w:r>
              <w:rPr>
                <w:rFonts w:ascii="仿宋_GB2312" w:hAnsi="仿宋_GB2312" w:cs="仿宋_GB2312" w:eastAsia="仿宋_GB2312"/>
                <w:sz w:val="24"/>
                <w:color w:val="0000FF"/>
              </w:rPr>
              <w:t>实际，开展</w:t>
            </w:r>
            <w:r>
              <w:rPr>
                <w:rFonts w:ascii="仿宋_GB2312" w:hAnsi="仿宋_GB2312" w:cs="仿宋_GB2312" w:eastAsia="仿宋_GB2312"/>
                <w:sz w:val="24"/>
                <w:color w:val="0000FF"/>
              </w:rPr>
              <w:t>三原县</w:t>
            </w:r>
            <w:r>
              <w:rPr>
                <w:rFonts w:ascii="仿宋_GB2312" w:hAnsi="仿宋_GB2312" w:cs="仿宋_GB2312" w:eastAsia="仿宋_GB2312"/>
                <w:sz w:val="24"/>
                <w:color w:val="0000FF"/>
              </w:rPr>
              <w:t>2025年</w:t>
            </w:r>
            <w:r>
              <w:rPr>
                <w:rFonts w:ascii="仿宋_GB2312" w:hAnsi="仿宋_GB2312" w:cs="仿宋_GB2312" w:eastAsia="仿宋_GB2312"/>
                <w:sz w:val="24"/>
                <w:color w:val="0000FF"/>
              </w:rPr>
              <w:t>城市国土空间监测工作</w:t>
            </w:r>
            <w:r>
              <w:rPr>
                <w:rFonts w:ascii="仿宋_GB2312" w:hAnsi="仿宋_GB2312" w:cs="仿宋_GB2312" w:eastAsia="仿宋_GB2312"/>
                <w:sz w:val="24"/>
                <w:color w:val="0000FF"/>
              </w:rPr>
              <w:t>。</w:t>
            </w:r>
          </w:p>
          <w:p>
            <w:pPr>
              <w:pStyle w:val="null3"/>
              <w:ind w:firstLine="480"/>
            </w:pPr>
            <w:r>
              <w:rPr>
                <w:rFonts w:ascii="仿宋_GB2312" w:hAnsi="仿宋_GB2312" w:cs="仿宋_GB2312" w:eastAsia="仿宋_GB2312"/>
                <w:sz w:val="24"/>
                <w:color w:val="0000FF"/>
              </w:rPr>
              <w:t>一、工作目标</w:t>
            </w:r>
          </w:p>
          <w:p>
            <w:pPr>
              <w:pStyle w:val="null3"/>
              <w:ind w:firstLine="480"/>
            </w:pPr>
            <w:r>
              <w:rPr>
                <w:rFonts w:ascii="仿宋_GB2312" w:hAnsi="仿宋_GB2312" w:cs="仿宋_GB2312" w:eastAsia="仿宋_GB2312"/>
                <w:sz w:val="24"/>
                <w:color w:val="0000FF"/>
              </w:rPr>
              <w:t>以</w:t>
            </w:r>
            <w:r>
              <w:rPr>
                <w:rFonts w:ascii="仿宋_GB2312" w:hAnsi="仿宋_GB2312" w:cs="仿宋_GB2312" w:eastAsia="仿宋_GB2312"/>
                <w:sz w:val="24"/>
                <w:color w:val="0000FF"/>
              </w:rPr>
              <w:t>2024年度国土变更调查成果为底图，在2024年城市国土空间监测成果基础上，依据2025年6月底之前的高分辨率遥感影像和最新的相关专题资料，结合实地调查等工作，在全县开展城市国土空间监测工作，掌握城市建设总量、用地结构、基础设施和服务功能等情况，支撑城市建设用地细化、国土空间规划编制及实施监督、国土空间规划城市体检评估、盘活存量土地、用途管制等国土空间治理工作。</w:t>
            </w:r>
          </w:p>
          <w:p>
            <w:pPr>
              <w:pStyle w:val="null3"/>
              <w:ind w:firstLine="480"/>
            </w:pPr>
            <w:r>
              <w:rPr>
                <w:rFonts w:ascii="仿宋_GB2312" w:hAnsi="仿宋_GB2312" w:cs="仿宋_GB2312" w:eastAsia="仿宋_GB2312"/>
                <w:sz w:val="24"/>
                <w:color w:val="0000FF"/>
              </w:rPr>
              <w:t>二、监测范围与要素</w:t>
            </w:r>
          </w:p>
          <w:p>
            <w:pPr>
              <w:pStyle w:val="null3"/>
              <w:ind w:firstLine="480"/>
            </w:pPr>
            <w:r>
              <w:rPr>
                <w:rFonts w:ascii="仿宋_GB2312" w:hAnsi="仿宋_GB2312" w:cs="仿宋_GB2312" w:eastAsia="仿宋_GB2312"/>
                <w:sz w:val="24"/>
                <w:color w:val="0000FF"/>
              </w:rPr>
              <w:t>监测范围根据需要分为全域范围和城区监测范围两类。全域范围以城市行政区域为监测范围。城区监测范围指部反馈的</w:t>
            </w:r>
            <w:r>
              <w:rPr>
                <w:rFonts w:ascii="仿宋_GB2312" w:hAnsi="仿宋_GB2312" w:cs="仿宋_GB2312" w:eastAsia="仿宋_GB2312"/>
                <w:sz w:val="24"/>
                <w:color w:val="0000FF"/>
              </w:rPr>
              <w:t>“城区范围”和2024年度国土变更调查确定的城市（201，不含县级市和县）范围的并集。依据《国土空间规划城市体检评估规程》进行“城区”相关统计分析工作时，仍按照“城区范围”执行。监测工作以土地利用现状为依据，确定监测要素的空间位置、占地范围、面积（长度）、相关属性等，监测要素如表1所示。</w:t>
            </w:r>
          </w:p>
          <w:p>
            <w:pPr>
              <w:pStyle w:val="null3"/>
              <w:ind w:firstLine="480"/>
              <w:jc w:val="center"/>
            </w:pPr>
            <w:r>
              <w:rPr>
                <w:rFonts w:ascii="仿宋_GB2312" w:hAnsi="仿宋_GB2312" w:cs="仿宋_GB2312" w:eastAsia="仿宋_GB2312"/>
                <w:sz w:val="24"/>
                <w:color w:val="0000FF"/>
              </w:rPr>
              <w:t>表</w:t>
            </w:r>
            <w:r>
              <w:rPr>
                <w:rFonts w:ascii="仿宋_GB2312" w:hAnsi="仿宋_GB2312" w:cs="仿宋_GB2312" w:eastAsia="仿宋_GB2312"/>
                <w:sz w:val="24"/>
                <w:color w:val="0000FF"/>
              </w:rPr>
              <w:t>1 2025年城市国土空间监测要素</w:t>
            </w:r>
          </w:p>
          <w:tbl>
            <w:tblPr>
              <w:tblBorders>
                <w:top w:val="none" w:color="000000" w:sz="4"/>
                <w:left w:val="none" w:color="000000" w:sz="4"/>
                <w:bottom w:val="none" w:color="000000" w:sz="4"/>
                <w:right w:val="none" w:color="000000" w:sz="4"/>
                <w:insideH w:val="none"/>
                <w:insideV w:val="none"/>
              </w:tblBorders>
            </w:tblPr>
            <w:tblGrid>
              <w:gridCol w:w="264"/>
              <w:gridCol w:w="584"/>
              <w:gridCol w:w="1691"/>
            </w:tblGrid>
            <w:tr>
              <w:tc>
                <w:tcPr>
                  <w:tcW w:type="dxa" w:w="2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rFonts w:ascii="仿宋_GB2312" w:hAnsi="仿宋_GB2312" w:cs="仿宋_GB2312" w:eastAsia="仿宋_GB2312"/>
                      <w:sz w:val="24"/>
                      <w:b/>
                      <w:color w:val="0000FF"/>
                    </w:rPr>
                    <w:t>序号</w:t>
                  </w:r>
                </w:p>
              </w:tc>
              <w:tc>
                <w:tcPr>
                  <w:tcW w:type="dxa" w:w="5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目标</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监测要素</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住宅情况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商品</w:t>
                  </w:r>
                  <w:r>
                    <w:rPr>
                      <w:rFonts w:ascii="仿宋_GB2312" w:hAnsi="仿宋_GB2312" w:cs="仿宋_GB2312" w:eastAsia="仿宋_GB2312"/>
                      <w:sz w:val="24"/>
                      <w:color w:val="0000FF"/>
                    </w:rPr>
                    <w:t>住</w:t>
                  </w:r>
                  <w:r>
                    <w:rPr>
                      <w:rFonts w:ascii="仿宋_GB2312" w:hAnsi="仿宋_GB2312" w:cs="仿宋_GB2312" w:eastAsia="仿宋_GB2312"/>
                      <w:sz w:val="24"/>
                      <w:color w:val="0000FF"/>
                    </w:rPr>
                    <w:t>房</w:t>
                  </w:r>
                  <w:r>
                    <w:rPr>
                      <w:rFonts w:ascii="仿宋_GB2312" w:hAnsi="仿宋_GB2312" w:cs="仿宋_GB2312" w:eastAsia="仿宋_GB2312"/>
                      <w:sz w:val="24"/>
                      <w:color w:val="0000FF"/>
                    </w:rPr>
                    <w:t>（</w:t>
                  </w:r>
                  <w:r>
                    <w:rPr>
                      <w:rFonts w:ascii="仿宋_GB2312" w:hAnsi="仿宋_GB2312" w:cs="仿宋_GB2312" w:eastAsia="仿宋_GB2312"/>
                      <w:sz w:val="24"/>
                      <w:color w:val="0000FF"/>
                    </w:rPr>
                    <w:t>地上</w:t>
                  </w:r>
                  <w:r>
                    <w:rPr>
                      <w:rFonts w:ascii="仿宋_GB2312" w:hAnsi="仿宋_GB2312" w:cs="仿宋_GB2312" w:eastAsia="仿宋_GB2312"/>
                      <w:sz w:val="24"/>
                      <w:color w:val="0000FF"/>
                    </w:rPr>
                    <w:t>）</w:t>
                  </w:r>
                  <w:r>
                    <w:rPr>
                      <w:rFonts w:ascii="仿宋_GB2312" w:hAnsi="仿宋_GB2312" w:cs="仿宋_GB2312" w:eastAsia="仿宋_GB2312"/>
                      <w:sz w:val="24"/>
                      <w:color w:val="0000FF"/>
                    </w:rPr>
                    <w:t>、保障性住房</w:t>
                  </w:r>
                  <w:r>
                    <w:rPr>
                      <w:rFonts w:ascii="仿宋_GB2312" w:hAnsi="仿宋_GB2312" w:cs="仿宋_GB2312" w:eastAsia="仿宋_GB2312"/>
                      <w:sz w:val="24"/>
                      <w:color w:val="0000FF"/>
                    </w:rPr>
                    <w:t>（</w:t>
                  </w:r>
                  <w:r>
                    <w:rPr>
                      <w:rFonts w:ascii="仿宋_GB2312" w:hAnsi="仿宋_GB2312" w:cs="仿宋_GB2312" w:eastAsia="仿宋_GB2312"/>
                      <w:sz w:val="24"/>
                      <w:color w:val="0000FF"/>
                    </w:rPr>
                    <w:t>地上</w:t>
                  </w:r>
                  <w:r>
                    <w:rPr>
                      <w:rFonts w:ascii="仿宋_GB2312" w:hAnsi="仿宋_GB2312" w:cs="仿宋_GB2312" w:eastAsia="仿宋_GB2312"/>
                      <w:sz w:val="24"/>
                      <w:color w:val="0000FF"/>
                    </w:rPr>
                    <w:t>）</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就学教育情况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高等院校</w:t>
                  </w:r>
                  <w:r>
                    <w:rPr>
                      <w:rFonts w:ascii="仿宋_GB2312" w:hAnsi="仿宋_GB2312" w:cs="仿宋_GB2312" w:eastAsia="仿宋_GB2312"/>
                      <w:sz w:val="24"/>
                      <w:color w:val="0000FF"/>
                    </w:rPr>
                    <w:t>（</w:t>
                  </w:r>
                  <w:r>
                    <w:rPr>
                      <w:rFonts w:ascii="仿宋_GB2312" w:hAnsi="仿宋_GB2312" w:cs="仿宋_GB2312" w:eastAsia="仿宋_GB2312"/>
                      <w:sz w:val="24"/>
                      <w:color w:val="0000FF"/>
                    </w:rPr>
                    <w:t>含军事院校</w:t>
                  </w:r>
                  <w:r>
                    <w:rPr>
                      <w:rFonts w:ascii="仿宋_GB2312" w:hAnsi="仿宋_GB2312" w:cs="仿宋_GB2312" w:eastAsia="仿宋_GB2312"/>
                      <w:sz w:val="24"/>
                      <w:color w:val="0000FF"/>
                    </w:rPr>
                    <w:t>）</w:t>
                  </w:r>
                  <w:r>
                    <w:rPr>
                      <w:rFonts w:ascii="仿宋_GB2312" w:hAnsi="仿宋_GB2312" w:cs="仿宋_GB2312" w:eastAsia="仿宋_GB2312"/>
                      <w:sz w:val="24"/>
                      <w:color w:val="0000FF"/>
                    </w:rPr>
                    <w:t>、中等职业学校、特殊教育学校、中小学、</w:t>
                  </w:r>
                  <w:r>
                    <w:rPr>
                      <w:rFonts w:ascii="仿宋_GB2312" w:hAnsi="仿宋_GB2312" w:cs="仿宋_GB2312" w:eastAsia="仿宋_GB2312"/>
                      <w:sz w:val="24"/>
                      <w:color w:val="0000FF"/>
                    </w:rPr>
                    <w:t>幼托机构、</w:t>
                  </w:r>
                  <w:r>
                    <w:rPr>
                      <w:rFonts w:ascii="仿宋_GB2312" w:hAnsi="仿宋_GB2312" w:cs="仿宋_GB2312" w:eastAsia="仿宋_GB2312"/>
                      <w:sz w:val="24"/>
                      <w:color w:val="0000FF"/>
                    </w:rPr>
                    <w:t>专门学校（工读学校）</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医疗情况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医院</w:t>
                  </w:r>
                  <w:r>
                    <w:rPr>
                      <w:rFonts w:ascii="仿宋_GB2312" w:hAnsi="仿宋_GB2312" w:cs="仿宋_GB2312" w:eastAsia="仿宋_GB2312"/>
                      <w:sz w:val="24"/>
                      <w:color w:val="0000FF"/>
                    </w:rPr>
                    <w:t>、</w:t>
                  </w:r>
                  <w:r>
                    <w:rPr>
                      <w:rFonts w:ascii="仿宋_GB2312" w:hAnsi="仿宋_GB2312" w:cs="仿宋_GB2312" w:eastAsia="仿宋_GB2312"/>
                      <w:sz w:val="24"/>
                      <w:color w:val="0000FF"/>
                    </w:rPr>
                    <w:t>方舱医院、社区卫生服务设施</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社会福利情况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养老设施、儿童社会福利设施、残疾人福利设施</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文体活动情况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文化艺术场馆、社区文化活动设施、体育场馆</w:t>
                  </w:r>
                  <w:r>
                    <w:rPr>
                      <w:rFonts w:ascii="仿宋_GB2312" w:hAnsi="仿宋_GB2312" w:cs="仿宋_GB2312" w:eastAsia="仿宋_GB2312"/>
                      <w:sz w:val="24"/>
                      <w:color w:val="0000FF"/>
                    </w:rPr>
                    <w:t>（</w:t>
                  </w:r>
                  <w:r>
                    <w:rPr>
                      <w:rFonts w:ascii="仿宋_GB2312" w:hAnsi="仿宋_GB2312" w:cs="仿宋_GB2312" w:eastAsia="仿宋_GB2312"/>
                      <w:sz w:val="24"/>
                      <w:color w:val="0000FF"/>
                    </w:rPr>
                    <w:t>含独</w:t>
                  </w:r>
                  <w:r>
                    <w:rPr>
                      <w:rFonts w:ascii="仿宋_GB2312" w:hAnsi="仿宋_GB2312" w:cs="仿宋_GB2312" w:eastAsia="仿宋_GB2312"/>
                      <w:sz w:val="24"/>
                      <w:color w:val="0000FF"/>
                    </w:rPr>
                    <w:t>立足球场</w:t>
                  </w:r>
                  <w:r>
                    <w:rPr>
                      <w:rFonts w:ascii="仿宋_GB2312" w:hAnsi="仿宋_GB2312" w:cs="仿宋_GB2312" w:eastAsia="仿宋_GB2312"/>
                      <w:sz w:val="24"/>
                      <w:color w:val="0000FF"/>
                    </w:rPr>
                    <w:t>）</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交通情况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高速公路服务区、轨道交通站点</w:t>
                  </w:r>
                  <w:r>
                    <w:rPr>
                      <w:rFonts w:ascii="仿宋_GB2312" w:hAnsi="仿宋_GB2312" w:cs="仿宋_GB2312" w:eastAsia="仿宋_GB2312"/>
                      <w:sz w:val="24"/>
                      <w:color w:val="0000FF"/>
                    </w:rPr>
                    <w:t>（</w:t>
                  </w:r>
                  <w:r>
                    <w:rPr>
                      <w:rFonts w:ascii="仿宋_GB2312" w:hAnsi="仿宋_GB2312" w:cs="仿宋_GB2312" w:eastAsia="仿宋_GB2312"/>
                      <w:sz w:val="24"/>
                      <w:color w:val="0000FF"/>
                    </w:rPr>
                    <w:t>地铁站</w:t>
                  </w:r>
                  <w:r>
                    <w:rPr>
                      <w:rFonts w:ascii="仿宋_GB2312" w:hAnsi="仿宋_GB2312" w:cs="仿宋_GB2312" w:eastAsia="仿宋_GB2312"/>
                      <w:sz w:val="24"/>
                      <w:color w:val="0000FF"/>
                    </w:rPr>
                    <w:t>）</w:t>
                  </w:r>
                  <w:r>
                    <w:rPr>
                      <w:rFonts w:ascii="仿宋_GB2312" w:hAnsi="仿宋_GB2312" w:cs="仿宋_GB2312" w:eastAsia="仿宋_GB2312"/>
                      <w:sz w:val="24"/>
                      <w:color w:val="0000FF"/>
                    </w:rPr>
                    <w:t>、对外交</w:t>
                  </w:r>
                  <w:r>
                    <w:rPr>
                      <w:rFonts w:ascii="仿宋_GB2312" w:hAnsi="仿宋_GB2312" w:cs="仿宋_GB2312" w:eastAsia="仿宋_GB2312"/>
                      <w:sz w:val="24"/>
                      <w:color w:val="0000FF"/>
                    </w:rPr>
                    <w:t>通场站、公共交通场站、地上公共停车场</w:t>
                  </w:r>
                  <w:r>
                    <w:rPr>
                      <w:rFonts w:ascii="仿宋_GB2312" w:hAnsi="仿宋_GB2312" w:cs="仿宋_GB2312" w:eastAsia="仿宋_GB2312"/>
                      <w:sz w:val="24"/>
                      <w:color w:val="0000FF"/>
                    </w:rPr>
                    <w:t>（</w:t>
                  </w:r>
                  <w:r>
                    <w:rPr>
                      <w:rFonts w:ascii="仿宋_GB2312" w:hAnsi="仿宋_GB2312" w:cs="仿宋_GB2312" w:eastAsia="仿宋_GB2312"/>
                      <w:sz w:val="24"/>
                      <w:color w:val="0000FF"/>
                    </w:rPr>
                    <w:t>停车楼</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机场</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公用设施情况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自来水厂、污水处理厂、垃圾集中处理设施、消防站、邮政局</w:t>
                  </w:r>
                  <w:r>
                    <w:rPr>
                      <w:rFonts w:ascii="仿宋_GB2312" w:hAnsi="仿宋_GB2312" w:cs="仿宋_GB2312" w:eastAsia="仿宋_GB2312"/>
                      <w:sz w:val="24"/>
                      <w:color w:val="0000FF"/>
                    </w:rPr>
                    <w:t>（</w:t>
                  </w:r>
                  <w:r>
                    <w:rPr>
                      <w:rFonts w:ascii="仿宋_GB2312" w:hAnsi="仿宋_GB2312" w:cs="仿宋_GB2312" w:eastAsia="仿宋_GB2312"/>
                      <w:sz w:val="24"/>
                      <w:color w:val="0000FF"/>
                    </w:rPr>
                    <w:t>所</w:t>
                  </w:r>
                  <w:r>
                    <w:rPr>
                      <w:rFonts w:ascii="仿宋_GB2312" w:hAnsi="仿宋_GB2312" w:cs="仿宋_GB2312" w:eastAsia="仿宋_GB2312"/>
                      <w:sz w:val="24"/>
                      <w:color w:val="0000FF"/>
                    </w:rPr>
                    <w:t>）</w:t>
                  </w:r>
                  <w:r>
                    <w:rPr>
                      <w:rFonts w:ascii="仿宋_GB2312" w:hAnsi="仿宋_GB2312" w:cs="仿宋_GB2312" w:eastAsia="仿宋_GB2312"/>
                      <w:sz w:val="24"/>
                      <w:color w:val="0000FF"/>
                    </w:rPr>
                    <w:t>、供热厂</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机关团体情况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公安派出所</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9</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公园与绿地情况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公园、绿地、广场</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殡葬设施情况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殡葬设施</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水利设施情况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水电站</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商业服务业设施情况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零售商业场所、旅馆、商务办公场所</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3</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城市安全韧性情况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城市内涝积水点、应急避难场所</w:t>
                  </w:r>
                  <w:r>
                    <w:rPr>
                      <w:rFonts w:ascii="仿宋_GB2312" w:hAnsi="仿宋_GB2312" w:cs="仿宋_GB2312" w:eastAsia="仿宋_GB2312"/>
                      <w:sz w:val="24"/>
                      <w:color w:val="0000FF"/>
                    </w:rPr>
                    <w:t>（</w:t>
                  </w:r>
                  <w:r>
                    <w:rPr>
                      <w:rFonts w:ascii="仿宋_GB2312" w:hAnsi="仿宋_GB2312" w:cs="仿宋_GB2312" w:eastAsia="仿宋_GB2312"/>
                      <w:sz w:val="24"/>
                      <w:color w:val="0000FF"/>
                    </w:rPr>
                    <w:t>地上</w:t>
                  </w:r>
                  <w:r>
                    <w:rPr>
                      <w:rFonts w:ascii="仿宋_GB2312" w:hAnsi="仿宋_GB2312" w:cs="仿宋_GB2312" w:eastAsia="仿宋_GB2312"/>
                      <w:sz w:val="24"/>
                      <w:color w:val="0000FF"/>
                    </w:rPr>
                    <w:t>）</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4</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建筑情况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单体建筑的高度、占地面积、建筑总面积</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15</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城市更新情况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新增城市更新改造用地</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16</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城市地下空间情况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地下</w:t>
                  </w:r>
                  <w:r>
                    <w:rPr>
                      <w:rFonts w:ascii="仿宋_GB2312" w:hAnsi="仿宋_GB2312" w:cs="仿宋_GB2312" w:eastAsia="仿宋_GB2312"/>
                      <w:sz w:val="24"/>
                      <w:color w:val="0000FF"/>
                    </w:rPr>
                    <w:t>建</w:t>
                  </w:r>
                  <w:r>
                    <w:rPr>
                      <w:rFonts w:ascii="仿宋_GB2312" w:hAnsi="仿宋_GB2312" w:cs="仿宋_GB2312" w:eastAsia="仿宋_GB2312"/>
                      <w:sz w:val="24"/>
                      <w:color w:val="0000FF"/>
                    </w:rPr>
                    <w:t>（构）筑物</w:t>
                  </w:r>
                  <w:r>
                    <w:rPr>
                      <w:rFonts w:ascii="仿宋_GB2312" w:hAnsi="仿宋_GB2312" w:cs="仿宋_GB2312" w:eastAsia="仿宋_GB2312"/>
                      <w:sz w:val="24"/>
                      <w:color w:val="0000FF"/>
                    </w:rPr>
                    <w:t>、地下交通</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7</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水域、交通网络情况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河湖</w:t>
                  </w:r>
                  <w:r>
                    <w:rPr>
                      <w:rFonts w:ascii="仿宋_GB2312" w:hAnsi="仿宋_GB2312" w:cs="仿宋_GB2312" w:eastAsia="仿宋_GB2312"/>
                      <w:sz w:val="24"/>
                      <w:color w:val="0000FF"/>
                    </w:rPr>
                    <w:t>（</w:t>
                  </w:r>
                  <w:r>
                    <w:rPr>
                      <w:rFonts w:ascii="仿宋_GB2312" w:hAnsi="仿宋_GB2312" w:cs="仿宋_GB2312" w:eastAsia="仿宋_GB2312"/>
                      <w:sz w:val="24"/>
                      <w:color w:val="0000FF"/>
                    </w:rPr>
                    <w:t>含大型水库</w:t>
                  </w:r>
                  <w:r>
                    <w:rPr>
                      <w:rFonts w:ascii="仿宋_GB2312" w:hAnsi="仿宋_GB2312" w:cs="仿宋_GB2312" w:eastAsia="仿宋_GB2312"/>
                      <w:sz w:val="24"/>
                      <w:color w:val="0000FF"/>
                    </w:rPr>
                    <w:t>）</w:t>
                  </w:r>
                  <w:r>
                    <w:rPr>
                      <w:rFonts w:ascii="仿宋_GB2312" w:hAnsi="仿宋_GB2312" w:cs="仿宋_GB2312" w:eastAsia="仿宋_GB2312"/>
                      <w:sz w:val="24"/>
                      <w:color w:val="0000FF"/>
                    </w:rPr>
                    <w:t>岸线、河渠结构线，铁路</w:t>
                  </w:r>
                  <w:r>
                    <w:rPr>
                      <w:rFonts w:ascii="仿宋_GB2312" w:hAnsi="仿宋_GB2312" w:cs="仿宋_GB2312" w:eastAsia="仿宋_GB2312"/>
                      <w:sz w:val="24"/>
                      <w:color w:val="0000FF"/>
                    </w:rPr>
                    <w:t>（</w:t>
                  </w:r>
                  <w:r>
                    <w:rPr>
                      <w:rFonts w:ascii="仿宋_GB2312" w:hAnsi="仿宋_GB2312" w:cs="仿宋_GB2312" w:eastAsia="仿宋_GB2312"/>
                      <w:sz w:val="24"/>
                      <w:color w:val="0000FF"/>
                    </w:rPr>
                    <w:t>含高速铁路</w:t>
                  </w:r>
                  <w:r>
                    <w:rPr>
                      <w:rFonts w:ascii="仿宋_GB2312" w:hAnsi="仿宋_GB2312" w:cs="仿宋_GB2312" w:eastAsia="仿宋_GB2312"/>
                      <w:sz w:val="24"/>
                      <w:color w:val="0000FF"/>
                    </w:rPr>
                    <w:t>）</w:t>
                  </w:r>
                  <w:r>
                    <w:rPr>
                      <w:rFonts w:ascii="仿宋_GB2312" w:hAnsi="仿宋_GB2312" w:cs="仿宋_GB2312" w:eastAsia="仿宋_GB2312"/>
                      <w:sz w:val="24"/>
                      <w:color w:val="0000FF"/>
                    </w:rPr>
                    <w:t>、公路</w:t>
                  </w:r>
                  <w:r>
                    <w:rPr>
                      <w:rFonts w:ascii="仿宋_GB2312" w:hAnsi="仿宋_GB2312" w:cs="仿宋_GB2312" w:eastAsia="仿宋_GB2312"/>
                      <w:sz w:val="24"/>
                      <w:color w:val="0000FF"/>
                    </w:rPr>
                    <w:t>（</w:t>
                  </w:r>
                  <w:r>
                    <w:rPr>
                      <w:rFonts w:ascii="仿宋_GB2312" w:hAnsi="仿宋_GB2312" w:cs="仿宋_GB2312" w:eastAsia="仿宋_GB2312"/>
                      <w:sz w:val="24"/>
                      <w:color w:val="0000FF"/>
                    </w:rPr>
                    <w:t>含高速公路</w:t>
                  </w:r>
                  <w:r>
                    <w:rPr>
                      <w:rFonts w:ascii="仿宋_GB2312" w:hAnsi="仿宋_GB2312" w:cs="仿宋_GB2312" w:eastAsia="仿宋_GB2312"/>
                      <w:sz w:val="24"/>
                      <w:color w:val="0000FF"/>
                    </w:rPr>
                    <w:t>）</w:t>
                  </w:r>
                  <w:r>
                    <w:rPr>
                      <w:rFonts w:ascii="仿宋_GB2312" w:hAnsi="仿宋_GB2312" w:cs="仿宋_GB2312" w:eastAsia="仿宋_GB2312"/>
                      <w:sz w:val="24"/>
                      <w:color w:val="0000FF"/>
                    </w:rPr>
                    <w:t>、城市道路、</w:t>
                  </w:r>
                  <w:r>
                    <w:rPr>
                      <w:rFonts w:ascii="仿宋_GB2312" w:hAnsi="仿宋_GB2312" w:cs="仿宋_GB2312" w:eastAsia="仿宋_GB2312"/>
                      <w:sz w:val="24"/>
                      <w:color w:val="0000FF"/>
                    </w:rPr>
                    <w:t>乡</w:t>
                  </w:r>
                  <w:r>
                    <w:rPr>
                      <w:rFonts w:ascii="仿宋_GB2312" w:hAnsi="仿宋_GB2312" w:cs="仿宋_GB2312" w:eastAsia="仿宋_GB2312"/>
                      <w:sz w:val="24"/>
                      <w:color w:val="0000FF"/>
                    </w:rPr>
                    <w:t>村道路、匝道中心线</w:t>
                  </w:r>
                  <w:r>
                    <w:rPr>
                      <w:rFonts w:ascii="仿宋_GB2312" w:hAnsi="仿宋_GB2312" w:cs="仿宋_GB2312" w:eastAsia="仿宋_GB2312"/>
                      <w:sz w:val="24"/>
                      <w:color w:val="0000FF"/>
                    </w:rPr>
                    <w:t>，高速公路出入口</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8</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室外滑雪场情况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室外滑雪场</w:t>
                  </w:r>
                  <w:r>
                    <w:rPr>
                      <w:rFonts w:ascii="仿宋_GB2312" w:hAnsi="仿宋_GB2312" w:cs="仿宋_GB2312" w:eastAsia="仿宋_GB2312"/>
                      <w:sz w:val="24"/>
                      <w:color w:val="0000FF"/>
                    </w:rPr>
                    <w:t>（</w:t>
                  </w:r>
                  <w:r>
                    <w:rPr>
                      <w:rFonts w:ascii="仿宋_GB2312" w:hAnsi="仿宋_GB2312" w:cs="仿宋_GB2312" w:eastAsia="仿宋_GB2312"/>
                      <w:sz w:val="24"/>
                      <w:color w:val="0000FF"/>
                    </w:rPr>
                    <w:t>含附属设施</w:t>
                  </w:r>
                  <w:r>
                    <w:rPr>
                      <w:rFonts w:ascii="仿宋_GB2312" w:hAnsi="仿宋_GB2312" w:cs="仿宋_GB2312" w:eastAsia="仿宋_GB2312"/>
                      <w:sz w:val="24"/>
                      <w:color w:val="0000FF"/>
                    </w:rPr>
                    <w:t>）</w:t>
                  </w:r>
                </w:p>
              </w:tc>
            </w:tr>
            <w:tr>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19</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历史文化遗产情况</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历史文化保护线</w:t>
                  </w:r>
                </w:p>
              </w:tc>
            </w:tr>
          </w:tbl>
          <w:p>
            <w:pPr>
              <w:pStyle w:val="null3"/>
              <w:ind w:firstLine="480"/>
            </w:pPr>
            <w:r>
              <w:rPr>
                <w:rFonts w:ascii="仿宋_GB2312" w:hAnsi="仿宋_GB2312" w:cs="仿宋_GB2312" w:eastAsia="仿宋_GB2312"/>
                <w:sz w:val="24"/>
                <w:color w:val="0000FF"/>
              </w:rPr>
              <w:t>以上第一至第十二项监测内容，在变更调查地类二级类下，按监测要素细化确定三级地类，以监测要素名称命名，同时，确定监测要素的空间位置、占地范围、面积、相关属性等，对变化情况和相关属性进行更新和完善，对新增的要素进行监测。第十三至第十九项确定监测要素的空间位置（范围）、面积（长度）、相关属性等，对变化情况和相关属性进行更新和完善，对新增的要素进行监测。</w:t>
            </w:r>
          </w:p>
          <w:p>
            <w:pPr>
              <w:pStyle w:val="null3"/>
              <w:ind w:firstLine="480"/>
            </w:pPr>
            <w:r>
              <w:rPr>
                <w:rFonts w:ascii="仿宋_GB2312" w:hAnsi="仿宋_GB2312" w:cs="仿宋_GB2312" w:eastAsia="仿宋_GB2312"/>
                <w:sz w:val="24"/>
                <w:color w:val="0000FF"/>
              </w:rPr>
              <w:t>全域范围采集的内容包括：高等院校（含军事院校）、中等职业学校、特殊教育学校、专门学校（工读学校），方舱医院，自来水厂、污水处理厂、供热厂，殡葬设施，轨道交通站点（地铁站），高速公路服务区、机场，水电站，河湖（含大型水库）岸线、河渠结构线，铁路（含高速铁路）、公路（含高速公路）、城市道路、乡村道路中心线，高速公路出入口，室外滑雪场（含附属设施）。</w:t>
            </w:r>
          </w:p>
          <w:p>
            <w:pPr>
              <w:pStyle w:val="null3"/>
              <w:ind w:firstLine="480"/>
            </w:pPr>
            <w:r>
              <w:rPr>
                <w:rFonts w:ascii="仿宋_GB2312" w:hAnsi="仿宋_GB2312" w:cs="仿宋_GB2312" w:eastAsia="仿宋_GB2312"/>
                <w:sz w:val="24"/>
                <w:color w:val="0000FF"/>
              </w:rPr>
              <w:t>三、工作内容</w:t>
            </w:r>
          </w:p>
          <w:p>
            <w:pPr>
              <w:pStyle w:val="null3"/>
              <w:ind w:firstLine="482"/>
            </w:pPr>
            <w:r>
              <w:rPr>
                <w:rFonts w:ascii="仿宋_GB2312" w:hAnsi="仿宋_GB2312" w:cs="仿宋_GB2312" w:eastAsia="仿宋_GB2312"/>
                <w:sz w:val="24"/>
                <w:b/>
                <w:color w:val="0000FF"/>
              </w:rPr>
              <w:t>（一）数据资料收集</w:t>
            </w:r>
          </w:p>
          <w:p>
            <w:pPr>
              <w:pStyle w:val="null3"/>
              <w:ind w:firstLine="482"/>
            </w:pPr>
            <w:r>
              <w:rPr>
                <w:rFonts w:ascii="仿宋_GB2312" w:hAnsi="仿宋_GB2312" w:cs="仿宋_GB2312" w:eastAsia="仿宋_GB2312"/>
                <w:sz w:val="24"/>
                <w:b/>
                <w:color w:val="0000FF"/>
              </w:rPr>
              <w:t>1.基础资料领取及作业人员培训</w:t>
            </w:r>
          </w:p>
          <w:p>
            <w:pPr>
              <w:pStyle w:val="null3"/>
              <w:ind w:firstLine="480"/>
            </w:pPr>
            <w:r>
              <w:rPr>
                <w:rFonts w:ascii="仿宋_GB2312" w:hAnsi="仿宋_GB2312" w:cs="仿宋_GB2312" w:eastAsia="仿宋_GB2312"/>
                <w:sz w:val="24"/>
                <w:color w:val="0000FF"/>
              </w:rPr>
              <w:t>2024年度国土变更调查成果、2024年城市国土空间监测成果、城区范围、水域网络及交通网络数据集、时相为 2025年4-6月的高精度正射影像等城市监测基础数据。</w:t>
            </w:r>
          </w:p>
          <w:p>
            <w:pPr>
              <w:pStyle w:val="null3"/>
              <w:ind w:firstLine="480"/>
            </w:pPr>
            <w:r>
              <w:rPr>
                <w:rFonts w:ascii="仿宋_GB2312" w:hAnsi="仿宋_GB2312" w:cs="仿宋_GB2312" w:eastAsia="仿宋_GB2312"/>
                <w:sz w:val="24"/>
                <w:color w:val="0000FF"/>
              </w:rPr>
              <w:t>对参与</w:t>
            </w:r>
            <w:r>
              <w:rPr>
                <w:rFonts w:ascii="仿宋_GB2312" w:hAnsi="仿宋_GB2312" w:cs="仿宋_GB2312" w:eastAsia="仿宋_GB2312"/>
                <w:sz w:val="24"/>
                <w:color w:val="0000FF"/>
              </w:rPr>
              <w:t>2025年城市国土空间监测工作人员进行培训，包括参加国、省级培训及相关工作人员统一工作要求、方法和程序；根据工作需要，准备相应计算机及软件系统、通讯设备、交通工具等仪器设备。</w:t>
            </w:r>
          </w:p>
          <w:p>
            <w:pPr>
              <w:pStyle w:val="null3"/>
              <w:ind w:firstLine="482"/>
            </w:pPr>
            <w:r>
              <w:rPr>
                <w:rFonts w:ascii="仿宋_GB2312" w:hAnsi="仿宋_GB2312" w:cs="仿宋_GB2312" w:eastAsia="仿宋_GB2312"/>
                <w:sz w:val="24"/>
                <w:b/>
                <w:color w:val="0000FF"/>
              </w:rPr>
              <w:t>2.辅助资料收集</w:t>
            </w:r>
          </w:p>
          <w:p>
            <w:pPr>
              <w:pStyle w:val="null3"/>
              <w:ind w:firstLine="480"/>
            </w:pPr>
            <w:r>
              <w:rPr>
                <w:rFonts w:ascii="仿宋_GB2312" w:hAnsi="仿宋_GB2312" w:cs="仿宋_GB2312" w:eastAsia="仿宋_GB2312"/>
                <w:sz w:val="24"/>
                <w:color w:val="0000FF"/>
              </w:rPr>
              <w:t>收集涉及教育、公安、民政、生态环境、住建、交通、水利、商务、文化旅游、卫生健康、应急、市场监管、体育、统计、能源管理、邮政等行业，现势性为</w:t>
            </w:r>
            <w:r>
              <w:rPr>
                <w:rFonts w:ascii="仿宋_GB2312" w:hAnsi="仿宋_GB2312" w:cs="仿宋_GB2312" w:eastAsia="仿宋_GB2312"/>
                <w:sz w:val="24"/>
                <w:color w:val="0000FF"/>
              </w:rPr>
              <w:t>2024年1月1日之后的最新专题资料、POI数据，结合地籍调查和不动产登记、供地、城市大比例尺基础测绘、数字城市、智慧城市等数据成果，为确定各类监测对象空间位置、占地范围和属性做参考和指引。</w:t>
            </w:r>
          </w:p>
          <w:p>
            <w:pPr>
              <w:pStyle w:val="null3"/>
              <w:ind w:firstLine="482"/>
            </w:pPr>
            <w:r>
              <w:rPr>
                <w:rFonts w:ascii="仿宋_GB2312" w:hAnsi="仿宋_GB2312" w:cs="仿宋_GB2312" w:eastAsia="仿宋_GB2312"/>
                <w:sz w:val="24"/>
                <w:b/>
                <w:color w:val="0000FF"/>
              </w:rPr>
              <w:t>（二）监测要素提取</w:t>
            </w:r>
          </w:p>
          <w:p>
            <w:pPr>
              <w:pStyle w:val="null3"/>
              <w:ind w:firstLine="480"/>
            </w:pPr>
            <w:r>
              <w:rPr>
                <w:rFonts w:ascii="仿宋_GB2312" w:hAnsi="仿宋_GB2312" w:cs="仿宋_GB2312" w:eastAsia="仿宋_GB2312"/>
                <w:sz w:val="24"/>
                <w:color w:val="0000FF"/>
              </w:rPr>
              <w:t>以</w:t>
            </w:r>
            <w:r>
              <w:rPr>
                <w:rFonts w:ascii="仿宋_GB2312" w:hAnsi="仿宋_GB2312" w:cs="仿宋_GB2312" w:eastAsia="仿宋_GB2312"/>
                <w:sz w:val="24"/>
                <w:color w:val="0000FF"/>
              </w:rPr>
              <w:t>2024年度国土变更调查成果为底图，以收集的资料为指引，套合最新遥感影像，利用多种技术手段，结合实地调查，确定相关监测内容的位置、占地范围和相关属性等。具体内容如下：</w:t>
            </w:r>
          </w:p>
          <w:p>
            <w:pPr>
              <w:pStyle w:val="null3"/>
              <w:ind w:firstLine="482"/>
            </w:pPr>
            <w:r>
              <w:rPr>
                <w:rFonts w:ascii="仿宋_GB2312" w:hAnsi="仿宋_GB2312" w:cs="仿宋_GB2312" w:eastAsia="仿宋_GB2312"/>
                <w:sz w:val="24"/>
                <w:b/>
                <w:color w:val="0000FF"/>
              </w:rPr>
              <w:t>1.</w:t>
            </w:r>
            <w:r>
              <w:rPr>
                <w:rFonts w:ascii="仿宋_GB2312" w:hAnsi="仿宋_GB2312" w:cs="仿宋_GB2312" w:eastAsia="仿宋_GB2312"/>
                <w:sz w:val="24"/>
                <w:color w:val="0000FF"/>
              </w:rPr>
              <w:t>对于有独立用地的监测要素，监测时实地与</w:t>
            </w:r>
            <w:r>
              <w:rPr>
                <w:rFonts w:ascii="仿宋_GB2312" w:hAnsi="仿宋_GB2312" w:cs="仿宋_GB2312" w:eastAsia="仿宋_GB2312"/>
                <w:sz w:val="24"/>
                <w:color w:val="0000FF"/>
              </w:rPr>
              <w:t>2024年度国土变更调查成果地类二级类一致的，在变更调查成果底图上进行细化采集，矢量化相关位置和范围，并标注相关属性；监测时实地与2024年度国土变更调查成果地类二级类不一致的，在单独图层上进行采集，矢量化相关位置和范围，并标注相关属性，同时，按照国土变更调查外业举证相关要求进行举证。</w:t>
            </w:r>
          </w:p>
          <w:p>
            <w:pPr>
              <w:pStyle w:val="null3"/>
              <w:ind w:firstLine="482"/>
            </w:pPr>
            <w:r>
              <w:rPr>
                <w:rFonts w:ascii="仿宋_GB2312" w:hAnsi="仿宋_GB2312" w:cs="仿宋_GB2312" w:eastAsia="仿宋_GB2312"/>
                <w:sz w:val="24"/>
                <w:b/>
                <w:color w:val="0000FF"/>
              </w:rPr>
              <w:t>2.</w:t>
            </w:r>
            <w:r>
              <w:rPr>
                <w:rFonts w:ascii="仿宋_GB2312" w:hAnsi="仿宋_GB2312" w:cs="仿宋_GB2312" w:eastAsia="仿宋_GB2312"/>
                <w:sz w:val="24"/>
                <w:color w:val="0000FF"/>
              </w:rPr>
              <w:t>对于没有独立用地的监测要素，以单独图层表示其矢量位置，并标注相关属性。</w:t>
            </w:r>
          </w:p>
          <w:p>
            <w:pPr>
              <w:pStyle w:val="null3"/>
              <w:ind w:firstLine="482"/>
            </w:pPr>
            <w:r>
              <w:rPr>
                <w:rFonts w:ascii="仿宋_GB2312" w:hAnsi="仿宋_GB2312" w:cs="仿宋_GB2312" w:eastAsia="仿宋_GB2312"/>
                <w:sz w:val="24"/>
                <w:b/>
                <w:color w:val="0000FF"/>
              </w:rPr>
              <w:t>3.</w:t>
            </w:r>
            <w:r>
              <w:rPr>
                <w:rFonts w:ascii="仿宋_GB2312" w:hAnsi="仿宋_GB2312" w:cs="仿宋_GB2312" w:eastAsia="仿宋_GB2312"/>
                <w:sz w:val="24"/>
                <w:color w:val="0000FF"/>
              </w:rPr>
              <w:t>对于相关部门权威资料可以表明相关属性的，可以在无明显逻辑矛盾的情况下直接使用；对于无权威资料或相关资料不能表明相关属性的，要结合外业实地调查确定相关属性。</w:t>
            </w:r>
          </w:p>
          <w:p>
            <w:pPr>
              <w:pStyle w:val="null3"/>
              <w:ind w:firstLine="482"/>
            </w:pPr>
            <w:r>
              <w:rPr>
                <w:rFonts w:ascii="仿宋_GB2312" w:hAnsi="仿宋_GB2312" w:cs="仿宋_GB2312" w:eastAsia="仿宋_GB2312"/>
                <w:sz w:val="24"/>
                <w:b/>
                <w:color w:val="0000FF"/>
              </w:rPr>
              <w:t>4.</w:t>
            </w:r>
            <w:r>
              <w:rPr>
                <w:rFonts w:ascii="仿宋_GB2312" w:hAnsi="仿宋_GB2312" w:cs="仿宋_GB2312" w:eastAsia="仿宋_GB2312"/>
                <w:sz w:val="24"/>
                <w:color w:val="0000FF"/>
              </w:rPr>
              <w:t>对于监测时原有监测要素改变为其他要素，或者监测要素的范围缩小且连片面积达到采集指标的，对其范围或位置进行标注，以单独图层表示。</w:t>
            </w:r>
          </w:p>
          <w:p>
            <w:pPr>
              <w:pStyle w:val="null3"/>
              <w:ind w:firstLine="482"/>
            </w:pPr>
            <w:r>
              <w:rPr>
                <w:rFonts w:ascii="仿宋_GB2312" w:hAnsi="仿宋_GB2312" w:cs="仿宋_GB2312" w:eastAsia="仿宋_GB2312"/>
                <w:sz w:val="24"/>
                <w:b/>
                <w:color w:val="0000FF"/>
              </w:rPr>
              <w:t>5.</w:t>
            </w:r>
            <w:r>
              <w:rPr>
                <w:rFonts w:ascii="仿宋_GB2312" w:hAnsi="仿宋_GB2312" w:cs="仿宋_GB2312" w:eastAsia="仿宋_GB2312"/>
                <w:sz w:val="24"/>
                <w:color w:val="0000FF"/>
              </w:rPr>
              <w:t>水域网络、交通网络只更新河湖（含大型水库）岸线、河渠结构线，铁路（含高速铁路）、公路（含高速公路）、城市道路、乡村道路、匝道中心线，高速公路出入口。</w:t>
            </w:r>
          </w:p>
          <w:p>
            <w:pPr>
              <w:pStyle w:val="null3"/>
              <w:ind w:firstLine="482"/>
            </w:pPr>
            <w:r>
              <w:rPr>
                <w:rFonts w:ascii="仿宋_GB2312" w:hAnsi="仿宋_GB2312" w:cs="仿宋_GB2312" w:eastAsia="仿宋_GB2312"/>
                <w:sz w:val="24"/>
                <w:b/>
                <w:color w:val="0000FF"/>
              </w:rPr>
              <w:t>（三）数据接边</w:t>
            </w:r>
          </w:p>
          <w:p>
            <w:pPr>
              <w:pStyle w:val="null3"/>
              <w:ind w:firstLine="480"/>
            </w:pPr>
            <w:r>
              <w:rPr>
                <w:rFonts w:ascii="仿宋_GB2312" w:hAnsi="仿宋_GB2312" w:cs="仿宋_GB2312" w:eastAsia="仿宋_GB2312"/>
                <w:sz w:val="24"/>
                <w:color w:val="0000FF"/>
              </w:rPr>
              <w:t>对于图层属性中包含</w:t>
            </w:r>
            <w:r>
              <w:rPr>
                <w:rFonts w:ascii="仿宋_GB2312" w:hAnsi="仿宋_GB2312" w:cs="仿宋_GB2312" w:eastAsia="仿宋_GB2312"/>
                <w:sz w:val="24"/>
                <w:color w:val="0000FF"/>
              </w:rPr>
              <w:t>“NAME”字段的所有实体要素数据层:相邻行政区域间（县与县、市与市）的监测数据成果需接边处理，包括图形接边和属性接边。接边之后应保证图形数据光滑、连续，避免出现硬折、尖角;图形相接的同一实体，应进行属性接边，确保属性信息的一致性、合理性。</w:t>
            </w:r>
          </w:p>
          <w:p>
            <w:pPr>
              <w:pStyle w:val="null3"/>
              <w:ind w:firstLine="482"/>
            </w:pPr>
            <w:r>
              <w:rPr>
                <w:rFonts w:ascii="仿宋_GB2312" w:hAnsi="仿宋_GB2312" w:cs="仿宋_GB2312" w:eastAsia="仿宋_GB2312"/>
                <w:sz w:val="24"/>
                <w:b/>
                <w:color w:val="0000FF"/>
              </w:rPr>
              <w:t>（四）元数据</w:t>
            </w:r>
          </w:p>
          <w:p>
            <w:pPr>
              <w:pStyle w:val="null3"/>
              <w:ind w:firstLine="480"/>
            </w:pPr>
            <w:r>
              <w:rPr>
                <w:rFonts w:ascii="仿宋_GB2312" w:hAnsi="仿宋_GB2312" w:cs="仿宋_GB2312" w:eastAsia="仿宋_GB2312"/>
                <w:sz w:val="24"/>
                <w:color w:val="0000FF"/>
              </w:rPr>
              <w:t>根据各项生产记录整理生成，不宜在数据采集结束后再进行元数据信息汇编。元数据集包括数据基本信息、数据源情况、数据采集情况、外业调查情况、质量检查情况等</w:t>
            </w:r>
            <w:r>
              <w:rPr>
                <w:rFonts w:ascii="仿宋_GB2312" w:hAnsi="仿宋_GB2312" w:cs="仿宋_GB2312" w:eastAsia="仿宋_GB2312"/>
                <w:sz w:val="24"/>
                <w:color w:val="0000FF"/>
              </w:rPr>
              <w:t>5个方面、10个图层。</w:t>
            </w:r>
          </w:p>
          <w:p>
            <w:pPr>
              <w:pStyle w:val="null3"/>
              <w:ind w:firstLine="482"/>
            </w:pPr>
            <w:r>
              <w:rPr>
                <w:rFonts w:ascii="仿宋_GB2312" w:hAnsi="仿宋_GB2312" w:cs="仿宋_GB2312" w:eastAsia="仿宋_GB2312"/>
                <w:sz w:val="24"/>
                <w:b/>
                <w:color w:val="0000FF"/>
              </w:rPr>
              <w:t>（五）监测成果数据建设</w:t>
            </w:r>
          </w:p>
          <w:p>
            <w:pPr>
              <w:pStyle w:val="null3"/>
              <w:ind w:firstLine="480"/>
            </w:pPr>
            <w:r>
              <w:rPr>
                <w:rFonts w:ascii="仿宋_GB2312" w:hAnsi="仿宋_GB2312" w:cs="仿宋_GB2312" w:eastAsia="仿宋_GB2312"/>
                <w:sz w:val="24"/>
                <w:color w:val="0000FF"/>
              </w:rPr>
              <w:t>监测成果分别存储在地类变化图斑数据集（</w:t>
            </w:r>
            <w:r>
              <w:rPr>
                <w:rFonts w:ascii="仿宋_GB2312" w:hAnsi="仿宋_GB2312" w:cs="仿宋_GB2312" w:eastAsia="仿宋_GB2312"/>
                <w:sz w:val="24"/>
                <w:color w:val="0000FF"/>
              </w:rPr>
              <w:t>BHDataset）、细化数据集（XHDataset）、补充数据集（BCDataset）3个数据集，44个数据层的空间监测成果数据。</w:t>
            </w:r>
          </w:p>
          <w:p>
            <w:pPr>
              <w:pStyle w:val="null3"/>
              <w:ind w:firstLine="482"/>
            </w:pPr>
            <w:r>
              <w:rPr>
                <w:rFonts w:ascii="仿宋_GB2312" w:hAnsi="仿宋_GB2312" w:cs="仿宋_GB2312" w:eastAsia="仿宋_GB2312"/>
                <w:sz w:val="24"/>
                <w:b/>
                <w:color w:val="0000FF"/>
              </w:rPr>
              <w:t>（六）文档成果</w:t>
            </w:r>
          </w:p>
          <w:p>
            <w:pPr>
              <w:pStyle w:val="null3"/>
              <w:ind w:firstLine="480"/>
            </w:pPr>
            <w:r>
              <w:rPr>
                <w:rFonts w:ascii="仿宋_GB2312" w:hAnsi="仿宋_GB2312" w:cs="仿宋_GB2312" w:eastAsia="仿宋_GB2312"/>
                <w:sz w:val="24"/>
                <w:color w:val="0000FF"/>
              </w:rPr>
              <w:t>编制工作报告、技术总结报告、质量检查报告。</w:t>
            </w:r>
          </w:p>
          <w:p>
            <w:pPr>
              <w:pStyle w:val="null3"/>
              <w:ind w:firstLine="482"/>
            </w:pPr>
            <w:r>
              <w:rPr>
                <w:rFonts w:ascii="仿宋_GB2312" w:hAnsi="仿宋_GB2312" w:cs="仿宋_GB2312" w:eastAsia="仿宋_GB2312"/>
                <w:sz w:val="24"/>
                <w:b/>
                <w:color w:val="0000FF"/>
              </w:rPr>
              <w:t>（七）质量控制</w:t>
            </w:r>
          </w:p>
          <w:p>
            <w:pPr>
              <w:pStyle w:val="null3"/>
              <w:ind w:firstLine="482"/>
            </w:pPr>
            <w:r>
              <w:rPr>
                <w:rFonts w:ascii="仿宋_GB2312" w:hAnsi="仿宋_GB2312" w:cs="仿宋_GB2312" w:eastAsia="仿宋_GB2312"/>
                <w:sz w:val="24"/>
                <w:b/>
                <w:color w:val="0000FF"/>
              </w:rPr>
              <w:t>1.质量检查</w:t>
            </w:r>
          </w:p>
          <w:p>
            <w:pPr>
              <w:pStyle w:val="null3"/>
              <w:ind w:firstLine="480"/>
            </w:pPr>
            <w:r>
              <w:rPr>
                <w:rFonts w:ascii="仿宋_GB2312" w:hAnsi="仿宋_GB2312" w:cs="仿宋_GB2312" w:eastAsia="仿宋_GB2312"/>
                <w:sz w:val="24"/>
                <w:color w:val="0000FF"/>
              </w:rPr>
              <w:t>监测成果质量的</w:t>
            </w:r>
            <w:r>
              <w:rPr>
                <w:rFonts w:ascii="仿宋_GB2312" w:hAnsi="仿宋_GB2312" w:cs="仿宋_GB2312" w:eastAsia="仿宋_GB2312"/>
                <w:sz w:val="24"/>
                <w:color w:val="0000FF"/>
              </w:rPr>
              <w:t>“两级检查”，分别由作业单位的生产部门和质量部门实施。作业单位生产部门在作业员100%自查合格的基础上对生产成果进行一级检查，一级检查的内容应涵盖全部作业过程及环节，所有生产工序及其成果需100%检查。在一级检查合格的基础上，作业单位质量部门对生产成果进行二级检查，二级检查内容涵盖全部作业过程及环节，对100%生产成果进行检查，并按照要求进行单位成果质量判定和批成果质量评定。</w:t>
            </w:r>
          </w:p>
          <w:p>
            <w:pPr>
              <w:pStyle w:val="null3"/>
              <w:ind w:firstLine="482"/>
            </w:pPr>
            <w:r>
              <w:rPr>
                <w:rFonts w:ascii="仿宋_GB2312" w:hAnsi="仿宋_GB2312" w:cs="仿宋_GB2312" w:eastAsia="仿宋_GB2312"/>
                <w:sz w:val="24"/>
                <w:b/>
                <w:color w:val="0000FF"/>
              </w:rPr>
              <w:t>2.成果验收</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）服务期：省级审核通过为止。</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）质量要求：合格。</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）成果文件数量及形式：以国家要求为准。</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）验收：以省级审核通过为准。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标的名称：三原县建立永久基本农田储备库(永久基本农田地块调整和补划潜力摸底工作) 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color w:val="0000FF"/>
              </w:rPr>
              <w:t>服务内容及要求</w:t>
            </w:r>
          </w:p>
          <w:p>
            <w:pPr>
              <w:pStyle w:val="null3"/>
              <w:ind w:firstLine="420"/>
              <w:jc w:val="left"/>
            </w:pPr>
            <w:r>
              <w:rPr>
                <w:rFonts w:ascii="仿宋_GB2312" w:hAnsi="仿宋_GB2312" w:cs="仿宋_GB2312" w:eastAsia="仿宋_GB2312"/>
                <w:sz w:val="24"/>
                <w:b/>
                <w:color w:val="0000FF"/>
              </w:rPr>
              <w:t>一、</w:t>
            </w:r>
            <w:r>
              <w:rPr>
                <w:rFonts w:ascii="仿宋_GB2312" w:hAnsi="仿宋_GB2312" w:cs="仿宋_GB2312" w:eastAsia="仿宋_GB2312"/>
                <w:sz w:val="24"/>
                <w:b/>
                <w:color w:val="0000FF"/>
              </w:rPr>
              <w:t>工作内容</w:t>
            </w:r>
          </w:p>
          <w:p>
            <w:pPr>
              <w:pStyle w:val="null3"/>
              <w:ind w:firstLine="480"/>
              <w:jc w:val="left"/>
            </w:pPr>
            <w:r>
              <w:rPr>
                <w:rFonts w:ascii="仿宋_GB2312" w:hAnsi="仿宋_GB2312" w:cs="仿宋_GB2312" w:eastAsia="仿宋_GB2312"/>
                <w:sz w:val="24"/>
                <w:color w:val="0000FF"/>
              </w:rPr>
              <w:t>1</w:t>
            </w:r>
            <w:r>
              <w:rPr>
                <w:rFonts w:ascii="仿宋_GB2312" w:hAnsi="仿宋_GB2312" w:cs="仿宋_GB2312" w:eastAsia="仿宋_GB2312"/>
                <w:sz w:val="24"/>
                <w:color w:val="0000FF"/>
              </w:rPr>
              <w:t>.</w:t>
            </w:r>
            <w:r>
              <w:rPr>
                <w:rFonts w:ascii="仿宋_GB2312" w:hAnsi="仿宋_GB2312" w:cs="仿宋_GB2312" w:eastAsia="仿宋_GB2312"/>
                <w:sz w:val="24"/>
                <w:color w:val="0000FF"/>
              </w:rPr>
              <w:t>资料收集及遥感影像解译与图斑提取</w:t>
            </w:r>
          </w:p>
          <w:p>
            <w:pPr>
              <w:pStyle w:val="null3"/>
              <w:ind w:firstLine="480"/>
              <w:jc w:val="left"/>
            </w:pPr>
            <w:r>
              <w:rPr>
                <w:rFonts w:ascii="仿宋_GB2312" w:hAnsi="仿宋_GB2312" w:cs="仿宋_GB2312" w:eastAsia="仿宋_GB2312"/>
                <w:sz w:val="24"/>
                <w:color w:val="0000FF"/>
              </w:rPr>
              <w:t>收集三原县</w:t>
            </w:r>
            <w:r>
              <w:rPr>
                <w:rFonts w:ascii="仿宋_GB2312" w:hAnsi="仿宋_GB2312" w:cs="仿宋_GB2312" w:eastAsia="仿宋_GB2312"/>
                <w:sz w:val="24"/>
                <w:color w:val="0000FF"/>
              </w:rPr>
              <w:t>2024年国土变更调查一上数据、“三区三线”成果、最新用地管理信息数据、坡度图、历年土地变更成果数据、退耕还林范围及2025年度最新影像数据，通过arcgis软件工具对数据进行叠加处理。扣除不宜作为建立</w:t>
            </w:r>
            <w:r>
              <w:rPr>
                <w:rFonts w:ascii="仿宋_GB2312" w:hAnsi="仿宋_GB2312" w:cs="仿宋_GB2312" w:eastAsia="仿宋_GB2312"/>
                <w:sz w:val="24"/>
                <w:color w:val="0000FF"/>
              </w:rPr>
              <w:t>储备库</w:t>
            </w:r>
            <w:r>
              <w:rPr>
                <w:rFonts w:ascii="仿宋_GB2312" w:hAnsi="仿宋_GB2312" w:cs="仿宋_GB2312" w:eastAsia="仿宋_GB2312"/>
                <w:sz w:val="24"/>
                <w:color w:val="0000FF"/>
              </w:rPr>
              <w:t>的耕地：一是</w:t>
            </w:r>
            <w:r>
              <w:rPr>
                <w:rFonts w:ascii="仿宋_GB2312" w:hAnsi="仿宋_GB2312" w:cs="仿宋_GB2312" w:eastAsia="仿宋_GB2312"/>
                <w:sz w:val="24"/>
                <w:color w:val="0000FF"/>
              </w:rPr>
              <w:t>25度以上坡耕地、河道湖区范围内耕地等不稳定耕地；二是饮用水水源一级保护地、生态保护红线、已纳入规划城镇建设用地范围、已取得建设用地批复</w:t>
            </w:r>
            <w:r>
              <w:rPr>
                <w:rFonts w:ascii="仿宋_GB2312" w:hAnsi="仿宋_GB2312" w:cs="仿宋_GB2312" w:eastAsia="仿宋_GB2312"/>
                <w:sz w:val="24"/>
                <w:color w:val="0000FF"/>
              </w:rPr>
              <w:t>备案</w:t>
            </w:r>
            <w:r>
              <w:rPr>
                <w:rFonts w:ascii="仿宋_GB2312" w:hAnsi="仿宋_GB2312" w:cs="仿宋_GB2312" w:eastAsia="仿宋_GB2312"/>
                <w:sz w:val="24"/>
                <w:color w:val="0000FF"/>
              </w:rPr>
              <w:t>范围、已</w:t>
            </w:r>
            <w:r>
              <w:rPr>
                <w:rFonts w:ascii="仿宋_GB2312" w:hAnsi="仿宋_GB2312" w:cs="仿宋_GB2312" w:eastAsia="仿宋_GB2312"/>
                <w:sz w:val="24"/>
                <w:color w:val="0000FF"/>
              </w:rPr>
              <w:t>备案</w:t>
            </w:r>
            <w:r>
              <w:rPr>
                <w:rFonts w:ascii="仿宋_GB2312" w:hAnsi="仿宋_GB2312" w:cs="仿宋_GB2312" w:eastAsia="仿宋_GB2312"/>
                <w:sz w:val="24"/>
                <w:color w:val="0000FF"/>
              </w:rPr>
              <w:t>设施农用地范围、已批准的临时用地范围、露天采矿区范围、公益林范围、退耕还林还草范围、天然林保护工程、林业系统现行自然保护地、三北防护林工程、沙化荒漠化监测范围内耕地；三是</w:t>
            </w:r>
            <w:r>
              <w:rPr>
                <w:rFonts w:ascii="仿宋_GB2312" w:hAnsi="仿宋_GB2312" w:cs="仿宋_GB2312" w:eastAsia="仿宋_GB2312"/>
                <w:sz w:val="24"/>
                <w:color w:val="0000FF"/>
              </w:rPr>
              <w:t>400平方米以下的孤立碎小耕地；四是国家严格管控类耕地。</w:t>
            </w:r>
          </w:p>
          <w:p>
            <w:pPr>
              <w:pStyle w:val="null3"/>
              <w:ind w:firstLine="480"/>
              <w:jc w:val="left"/>
            </w:pPr>
            <w:r>
              <w:rPr>
                <w:rFonts w:ascii="仿宋_GB2312" w:hAnsi="仿宋_GB2312" w:cs="仿宋_GB2312" w:eastAsia="仿宋_GB2312"/>
                <w:sz w:val="24"/>
                <w:color w:val="0000FF"/>
              </w:rPr>
              <w:t>2</w:t>
            </w:r>
            <w:r>
              <w:rPr>
                <w:rFonts w:ascii="仿宋_GB2312" w:hAnsi="仿宋_GB2312" w:cs="仿宋_GB2312" w:eastAsia="仿宋_GB2312"/>
                <w:sz w:val="24"/>
                <w:color w:val="0000FF"/>
              </w:rPr>
              <w:t>.</w:t>
            </w:r>
            <w:r>
              <w:rPr>
                <w:rFonts w:ascii="仿宋_GB2312" w:hAnsi="仿宋_GB2312" w:cs="仿宋_GB2312" w:eastAsia="仿宋_GB2312"/>
                <w:sz w:val="24"/>
                <w:color w:val="0000FF"/>
              </w:rPr>
              <w:t>外业调查举证</w:t>
            </w:r>
          </w:p>
          <w:p>
            <w:pPr>
              <w:pStyle w:val="null3"/>
              <w:ind w:firstLine="480"/>
              <w:jc w:val="left"/>
            </w:pPr>
            <w:r>
              <w:rPr>
                <w:rFonts w:ascii="仿宋_GB2312" w:hAnsi="仿宋_GB2312" w:cs="仿宋_GB2312" w:eastAsia="仿宋_GB2312"/>
                <w:sz w:val="24"/>
                <w:color w:val="0000FF"/>
              </w:rPr>
              <w:t>各地依据外业核实调查底图，对拟划入储</w:t>
            </w:r>
            <w:r>
              <w:rPr>
                <w:rFonts w:ascii="仿宋_GB2312" w:hAnsi="仿宋_GB2312" w:cs="仿宋_GB2312" w:eastAsia="仿宋_GB2312"/>
                <w:sz w:val="24"/>
                <w:color w:val="0000FF"/>
              </w:rPr>
              <w:t>备</w:t>
            </w:r>
            <w:r>
              <w:rPr>
                <w:rFonts w:ascii="仿宋_GB2312" w:hAnsi="仿宋_GB2312" w:cs="仿宋_GB2312" w:eastAsia="仿宋_GB2312"/>
                <w:sz w:val="24"/>
                <w:color w:val="0000FF"/>
              </w:rPr>
              <w:t>库地块开展逐地块实地核实，核实现状是否为耕地，质量和布局是否符合储</w:t>
            </w:r>
            <w:r>
              <w:rPr>
                <w:rFonts w:ascii="仿宋_GB2312" w:hAnsi="仿宋_GB2312" w:cs="仿宋_GB2312" w:eastAsia="仿宋_GB2312"/>
                <w:sz w:val="24"/>
                <w:color w:val="0000FF"/>
              </w:rPr>
              <w:t>备</w:t>
            </w:r>
            <w:r>
              <w:rPr>
                <w:rFonts w:ascii="仿宋_GB2312" w:hAnsi="仿宋_GB2312" w:cs="仿宋_GB2312" w:eastAsia="仿宋_GB2312"/>
                <w:sz w:val="24"/>
                <w:color w:val="0000FF"/>
              </w:rPr>
              <w:t>库建立要求。</w:t>
            </w:r>
          </w:p>
          <w:p>
            <w:pPr>
              <w:pStyle w:val="null3"/>
              <w:ind w:firstLine="480"/>
              <w:jc w:val="left"/>
            </w:pP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内业审核及内业数据处理</w:t>
            </w:r>
          </w:p>
          <w:p>
            <w:pPr>
              <w:pStyle w:val="null3"/>
              <w:ind w:firstLine="480"/>
              <w:jc w:val="left"/>
            </w:pPr>
            <w:r>
              <w:rPr>
                <w:rFonts w:ascii="仿宋_GB2312" w:hAnsi="仿宋_GB2312" w:cs="仿宋_GB2312" w:eastAsia="仿宋_GB2312"/>
                <w:sz w:val="24"/>
                <w:color w:val="0000FF"/>
              </w:rPr>
              <w:t>根据外业调查情况对现场照片进行审核并进行数据处理，提取永久基本农田储备库图斑，依据内业分析和外业核实成果</w:t>
            </w:r>
            <w:r>
              <w:rPr>
                <w:rFonts w:ascii="仿宋_GB2312" w:hAnsi="仿宋_GB2312" w:cs="仿宋_GB2312" w:eastAsia="仿宋_GB2312"/>
                <w:sz w:val="24"/>
                <w:color w:val="0000FF"/>
              </w:rPr>
              <w:t>,编制县级</w:t>
            </w:r>
            <w:r>
              <w:rPr>
                <w:rFonts w:ascii="仿宋_GB2312" w:hAnsi="仿宋_GB2312" w:cs="仿宋_GB2312" w:eastAsia="仿宋_GB2312"/>
                <w:sz w:val="24"/>
                <w:color w:val="0000FF"/>
              </w:rPr>
              <w:t>储备库</w:t>
            </w:r>
            <w:r>
              <w:rPr>
                <w:rFonts w:ascii="仿宋_GB2312" w:hAnsi="仿宋_GB2312" w:cs="仿宋_GB2312" w:eastAsia="仿宋_GB2312"/>
                <w:sz w:val="24"/>
                <w:color w:val="0000FF"/>
              </w:rPr>
              <w:t>建立方案</w:t>
            </w:r>
            <w:r>
              <w:rPr>
                <w:rFonts w:ascii="仿宋_GB2312" w:hAnsi="仿宋_GB2312" w:cs="仿宋_GB2312" w:eastAsia="仿宋_GB2312"/>
                <w:sz w:val="24"/>
                <w:color w:val="0000FF"/>
              </w:rPr>
              <w:t>,并上报市级审查论证。</w:t>
            </w:r>
          </w:p>
          <w:p>
            <w:pPr>
              <w:pStyle w:val="null3"/>
              <w:ind w:firstLine="480"/>
              <w:jc w:val="left"/>
            </w:pPr>
            <w:r>
              <w:rPr>
                <w:rFonts w:ascii="仿宋_GB2312" w:hAnsi="仿宋_GB2312" w:cs="仿宋_GB2312" w:eastAsia="仿宋_GB2312"/>
                <w:sz w:val="24"/>
                <w:color w:val="0000FF"/>
              </w:rPr>
              <w:t>4</w:t>
            </w:r>
            <w:r>
              <w:rPr>
                <w:rFonts w:ascii="仿宋_GB2312" w:hAnsi="仿宋_GB2312" w:cs="仿宋_GB2312" w:eastAsia="仿宋_GB2312"/>
                <w:sz w:val="24"/>
                <w:color w:val="0000FF"/>
              </w:rPr>
              <w:t>.</w:t>
            </w:r>
            <w:r>
              <w:rPr>
                <w:rFonts w:ascii="仿宋_GB2312" w:hAnsi="仿宋_GB2312" w:cs="仿宋_GB2312" w:eastAsia="仿宋_GB2312"/>
                <w:sz w:val="24"/>
                <w:color w:val="0000FF"/>
              </w:rPr>
              <w:t>数据库建设</w:t>
            </w:r>
          </w:p>
          <w:p>
            <w:pPr>
              <w:pStyle w:val="null3"/>
              <w:ind w:firstLine="480"/>
              <w:jc w:val="left"/>
            </w:pPr>
            <w:r>
              <w:rPr>
                <w:rFonts w:ascii="仿宋_GB2312" w:hAnsi="仿宋_GB2312" w:cs="仿宋_GB2312" w:eastAsia="仿宋_GB2312"/>
                <w:sz w:val="24"/>
                <w:color w:val="0000FF"/>
              </w:rPr>
              <w:t>依据内外业工作成果和县级</w:t>
            </w:r>
            <w:r>
              <w:rPr>
                <w:rFonts w:ascii="仿宋_GB2312" w:hAnsi="仿宋_GB2312" w:cs="仿宋_GB2312" w:eastAsia="仿宋_GB2312"/>
                <w:sz w:val="24"/>
                <w:color w:val="0000FF"/>
              </w:rPr>
              <w:t>储备库</w:t>
            </w:r>
            <w:r>
              <w:rPr>
                <w:rFonts w:ascii="仿宋_GB2312" w:hAnsi="仿宋_GB2312" w:cs="仿宋_GB2312" w:eastAsia="仿宋_GB2312"/>
                <w:sz w:val="24"/>
                <w:color w:val="0000FF"/>
              </w:rPr>
              <w:t>建立方案</w:t>
            </w:r>
            <w:r>
              <w:rPr>
                <w:rFonts w:ascii="仿宋_GB2312" w:hAnsi="仿宋_GB2312" w:cs="仿宋_GB2312" w:eastAsia="仿宋_GB2312"/>
                <w:sz w:val="24"/>
                <w:color w:val="0000FF"/>
              </w:rPr>
              <w:t>，</w:t>
            </w:r>
            <w:r>
              <w:rPr>
                <w:rFonts w:ascii="仿宋_GB2312" w:hAnsi="仿宋_GB2312" w:cs="仿宋_GB2312" w:eastAsia="仿宋_GB2312"/>
                <w:sz w:val="24"/>
                <w:color w:val="0000FF"/>
              </w:rPr>
              <w:t>以县级行政区划为单元</w:t>
            </w:r>
            <w:r>
              <w:rPr>
                <w:rFonts w:ascii="仿宋_GB2312" w:hAnsi="仿宋_GB2312" w:cs="仿宋_GB2312" w:eastAsia="仿宋_GB2312"/>
                <w:sz w:val="24"/>
                <w:color w:val="0000FF"/>
              </w:rPr>
              <w:t>，</w:t>
            </w:r>
            <w:r>
              <w:rPr>
                <w:rFonts w:ascii="仿宋_GB2312" w:hAnsi="仿宋_GB2312" w:cs="仿宋_GB2312" w:eastAsia="仿宋_GB2312"/>
                <w:sz w:val="24"/>
                <w:color w:val="0000FF"/>
              </w:rPr>
              <w:t>按照技术标准要求</w:t>
            </w:r>
            <w:r>
              <w:rPr>
                <w:rFonts w:ascii="仿宋_GB2312" w:hAnsi="仿宋_GB2312" w:cs="仿宋_GB2312" w:eastAsia="仿宋_GB2312"/>
                <w:sz w:val="24"/>
                <w:color w:val="0000FF"/>
              </w:rPr>
              <w:t>，</w:t>
            </w:r>
            <w:r>
              <w:rPr>
                <w:rFonts w:ascii="仿宋_GB2312" w:hAnsi="仿宋_GB2312" w:cs="仿宋_GB2312" w:eastAsia="仿宋_GB2312"/>
                <w:sz w:val="24"/>
                <w:color w:val="0000FF"/>
              </w:rPr>
              <w:t>建立</w:t>
            </w:r>
            <w:r>
              <w:rPr>
                <w:rFonts w:ascii="仿宋_GB2312" w:hAnsi="仿宋_GB2312" w:cs="仿宋_GB2312" w:eastAsia="仿宋_GB2312"/>
                <w:sz w:val="24"/>
                <w:color w:val="0000FF"/>
              </w:rPr>
              <w:t>储备库</w:t>
            </w:r>
            <w:r>
              <w:rPr>
                <w:rFonts w:ascii="仿宋_GB2312" w:hAnsi="仿宋_GB2312" w:cs="仿宋_GB2312" w:eastAsia="仿宋_GB2312"/>
                <w:sz w:val="24"/>
                <w:color w:val="0000FF"/>
              </w:rPr>
              <w:t>数据库。各市将各县</w:t>
            </w:r>
            <w:r>
              <w:rPr>
                <w:rFonts w:ascii="仿宋_GB2312" w:hAnsi="仿宋_GB2312" w:cs="仿宋_GB2312" w:eastAsia="仿宋_GB2312"/>
                <w:sz w:val="24"/>
                <w:color w:val="0000FF"/>
              </w:rPr>
              <w:t>（</w:t>
            </w:r>
            <w:r>
              <w:rPr>
                <w:rFonts w:ascii="仿宋_GB2312" w:hAnsi="仿宋_GB2312" w:cs="仿宋_GB2312" w:eastAsia="仿宋_GB2312"/>
                <w:sz w:val="24"/>
                <w:color w:val="0000FF"/>
              </w:rPr>
              <w:t>区</w:t>
            </w:r>
            <w:r>
              <w:rPr>
                <w:rFonts w:ascii="仿宋_GB2312" w:hAnsi="仿宋_GB2312" w:cs="仿宋_GB2312" w:eastAsia="仿宋_GB2312"/>
                <w:sz w:val="24"/>
                <w:color w:val="0000FF"/>
              </w:rPr>
              <w:t>）储备库</w:t>
            </w:r>
            <w:r>
              <w:rPr>
                <w:rFonts w:ascii="仿宋_GB2312" w:hAnsi="仿宋_GB2312" w:cs="仿宋_GB2312" w:eastAsia="仿宋_GB2312"/>
                <w:sz w:val="24"/>
                <w:color w:val="0000FF"/>
              </w:rPr>
              <w:t>相关成果整理汇总</w:t>
            </w:r>
            <w:r>
              <w:rPr>
                <w:rFonts w:ascii="仿宋_GB2312" w:hAnsi="仿宋_GB2312" w:cs="仿宋_GB2312" w:eastAsia="仿宋_GB2312"/>
                <w:sz w:val="24"/>
                <w:color w:val="0000FF"/>
              </w:rPr>
              <w:t>，</w:t>
            </w:r>
            <w:r>
              <w:rPr>
                <w:rFonts w:ascii="仿宋_GB2312" w:hAnsi="仿宋_GB2312" w:cs="仿宋_GB2312" w:eastAsia="仿宋_GB2312"/>
                <w:sz w:val="24"/>
                <w:color w:val="0000FF"/>
              </w:rPr>
              <w:t>形成规范的矢量数据、统计表格、图件等成果。</w:t>
            </w:r>
          </w:p>
          <w:p>
            <w:pPr>
              <w:pStyle w:val="null3"/>
              <w:ind w:firstLine="480"/>
              <w:jc w:val="left"/>
            </w:pPr>
            <w:r>
              <w:rPr>
                <w:rFonts w:ascii="仿宋_GB2312" w:hAnsi="仿宋_GB2312" w:cs="仿宋_GB2312" w:eastAsia="仿宋_GB2312"/>
                <w:sz w:val="24"/>
                <w:color w:val="0000FF"/>
              </w:rPr>
              <w:t>5</w:t>
            </w:r>
            <w:r>
              <w:rPr>
                <w:rFonts w:ascii="仿宋_GB2312" w:hAnsi="仿宋_GB2312" w:cs="仿宋_GB2312" w:eastAsia="仿宋_GB2312"/>
                <w:sz w:val="24"/>
                <w:color w:val="0000FF"/>
              </w:rPr>
              <w:t>.</w:t>
            </w:r>
            <w:r>
              <w:rPr>
                <w:rFonts w:ascii="仿宋_GB2312" w:hAnsi="仿宋_GB2312" w:cs="仿宋_GB2312" w:eastAsia="仿宋_GB2312"/>
                <w:sz w:val="24"/>
                <w:color w:val="0000FF"/>
              </w:rPr>
              <w:t>成果质检及报告编写与图件制作</w:t>
            </w:r>
          </w:p>
          <w:p>
            <w:pPr>
              <w:pStyle w:val="null3"/>
              <w:ind w:firstLine="480"/>
              <w:jc w:val="left"/>
            </w:pPr>
            <w:r>
              <w:rPr>
                <w:rFonts w:ascii="仿宋_GB2312" w:hAnsi="仿宋_GB2312" w:cs="仿宋_GB2312" w:eastAsia="仿宋_GB2312"/>
                <w:sz w:val="24"/>
                <w:color w:val="0000FF"/>
              </w:rPr>
              <w:t>永久基本农田储备库数据库和永久基本农田地块调整和补划潜力摸底工作数据库建设完成后对数据进行全面质量检查修改完善，并根据要求进行数据库汇交。根据《建立永久基本农田储备库技术方案》要求，分别提交县级永久基本农田</w:t>
            </w:r>
            <w:r>
              <w:rPr>
                <w:rFonts w:ascii="仿宋_GB2312" w:hAnsi="仿宋_GB2312" w:cs="仿宋_GB2312" w:eastAsia="仿宋_GB2312"/>
                <w:sz w:val="24"/>
                <w:color w:val="0000FF"/>
              </w:rPr>
              <w:t>储备库</w:t>
            </w:r>
            <w:r>
              <w:rPr>
                <w:rFonts w:ascii="仿宋_GB2312" w:hAnsi="仿宋_GB2312" w:cs="仿宋_GB2312" w:eastAsia="仿宋_GB2312"/>
                <w:sz w:val="24"/>
                <w:color w:val="0000FF"/>
              </w:rPr>
              <w:t>成果自检报告和工作总结报告。</w:t>
            </w:r>
          </w:p>
          <w:p>
            <w:pPr>
              <w:pStyle w:val="null3"/>
              <w:ind w:firstLine="420"/>
              <w:jc w:val="left"/>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服务期限及质量要求</w:t>
            </w:r>
          </w:p>
          <w:p>
            <w:pPr>
              <w:pStyle w:val="null3"/>
              <w:ind w:firstLine="420"/>
              <w:jc w:val="left"/>
            </w:pPr>
            <w:r>
              <w:rPr>
                <w:rFonts w:ascii="仿宋_GB2312" w:hAnsi="仿宋_GB2312" w:cs="仿宋_GB2312" w:eastAsia="仿宋_GB2312"/>
                <w:sz w:val="24"/>
                <w:color w:val="0000FF"/>
              </w:rPr>
              <w:t>1、服务期：</w:t>
            </w:r>
            <w:r>
              <w:rPr>
                <w:rFonts w:ascii="仿宋_GB2312" w:hAnsi="仿宋_GB2312" w:cs="仿宋_GB2312" w:eastAsia="仿宋_GB2312"/>
                <w:sz w:val="24"/>
                <w:color w:val="0000FF"/>
              </w:rPr>
              <w:t>省</w:t>
            </w:r>
            <w:r>
              <w:rPr>
                <w:rFonts w:ascii="仿宋_GB2312" w:hAnsi="仿宋_GB2312" w:cs="仿宋_GB2312" w:eastAsia="仿宋_GB2312"/>
                <w:sz w:val="24"/>
                <w:color w:val="0000FF"/>
              </w:rPr>
              <w:t>级审核通过为止。</w:t>
            </w:r>
          </w:p>
          <w:p>
            <w:pPr>
              <w:pStyle w:val="null3"/>
              <w:ind w:firstLine="420"/>
              <w:jc w:val="left"/>
            </w:pPr>
            <w:r>
              <w:rPr>
                <w:rFonts w:ascii="仿宋_GB2312" w:hAnsi="仿宋_GB2312" w:cs="仿宋_GB2312" w:eastAsia="仿宋_GB2312"/>
                <w:sz w:val="24"/>
                <w:color w:val="0000FF"/>
              </w:rPr>
              <w:t>2、质量要求：合格。</w:t>
            </w:r>
          </w:p>
          <w:p>
            <w:pPr>
              <w:pStyle w:val="null3"/>
              <w:ind w:firstLine="420"/>
              <w:jc w:val="left"/>
            </w:pPr>
            <w:r>
              <w:rPr>
                <w:rFonts w:ascii="仿宋_GB2312" w:hAnsi="仿宋_GB2312" w:cs="仿宋_GB2312" w:eastAsia="仿宋_GB2312"/>
                <w:sz w:val="24"/>
                <w:color w:val="0000FF"/>
              </w:rPr>
              <w:t>3、成果文件数量及形式：以国家要求为准。</w:t>
            </w:r>
          </w:p>
          <w:p>
            <w:pPr>
              <w:pStyle w:val="null3"/>
              <w:ind w:firstLine="420"/>
              <w:jc w:val="left"/>
            </w:pPr>
            <w:r>
              <w:rPr>
                <w:rFonts w:ascii="仿宋_GB2312" w:hAnsi="仿宋_GB2312" w:cs="仿宋_GB2312" w:eastAsia="仿宋_GB2312"/>
                <w:sz w:val="24"/>
                <w:color w:val="0000FF"/>
              </w:rPr>
              <w:t>4、验收：以部级审核通过为准。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按服务要求配置。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按服务要求配置。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按服务要求配置。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按服务要求配置。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合同签订之日起至省级复核通过为止。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合同签订之日起至部级审核通过为止。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自合同签订之日起45日历天内完成全部成果并通过验收为止。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合同签订之日起至省级审核通过为止。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陕西省咸阳市三原县行政区域内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陕西省咸阳市三原县行政区域内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陕西省咸阳市三原县行政区域内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陕西省咸阳市三原县行政区域内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最终成果必须符合陕自然资耕发[2025]78号文件的所有要求，确保通过市级审核和省级复核，如因中标单位原因导致未通过审核或符合，中标单位无偿返工至合格，由此产生的费用和损失由中标单位自行承担。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验收：以部级审核通过为准。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符合国家、省2025年城市国土空间监测成果汇交规范与质量检查要求，数据真实、准确、完整，通过省、市、县三级核查验收。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验收：以部级审核通过为准。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进度款，乙方完成全部外业举证、内业审核及正射影像图制作，并向甲方提交阶段成果报告，报市级初验合格后，达到付款条件起15个工作日内，支付合同总金额的40.0%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进度款，项目全部成果通过市级复核、监管平台备案、指标入库生效并通过甲方验收后，达到付款条件起15个工作日内，支付合同总金额的30.0%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进度款，项目全部成果通过省级复核、监管平台备案、指标入库生效并通过甲方验收后，达到付款条件起15个工作日内，支付合同总金额的30.0%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进度款，完成日常变更工作并通过市级和省级验收后，达到付款条件起15个工作日内，支付合同总金额的30.0%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进度款，完成耕地资源分区分类评价工作并通过市级和省级验收且完成三原县历史流出耕地过渡期恢复方案并通过省级审查通过后，达到付款条件起15个工作日内，支付合同总金额的40.0%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进度款，完成年度变更工作并通过部级验收后，达到付款条件起15个工作日内，支付合同总金额的30.0%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进度款，合同签订完成全部外业调查、内业解译、数据库建设，并经甲方初步验收合格后，达到付款条件起15个工作日内，支付合同总金额的40.0%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进度款，项目成果提交省、市级检查验收合格后，达到付款条件起15个工作日内，支付合同总金额的40.0%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进度款，项目最终成果通过上级验收后，乙方开具全额增值税发票后，达到付款条件起15个工作日内，支付合同总金额的20.0%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进度款，完成三原县建立永久基本农田储备库（永久基本农田地块调整和补划潜力摸底工作）并通过市级验收后，达到付款条件起15个工作日内，支付合同总金额的40.0%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进度款，所有服务内容完成，最终成果通过省级验收后，达到付款条件起30个工作日内，支付合同总金额的60.0%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服务要求和标准，采购人有权终止合同，并对服务单位违约行为进行追究，同时按《中华人民共和国政府采购法》的有关规定进行处罚。 3.与本合同有关的一切争议，双方应当进行友好协商，协商不成的，双方均有权向甲方所在地有管辖权的人民法院提起诉讼。4、供应商应保证所有相关资质证书在项目实施期内持续有效。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未按合同要求提供服务或服务质量不能满足服务要求和标准，采购人有权终止合同，并对服务单位违约行为进行追究，同时按《中华人民共和国政府采购法》的有关规定进行处罚。 3.与本合同有关的一切争议，双方应当进行友好协商，协商不成的，双方均有权向甲方所在地有管辖权的人民法院提起诉讼。4、供应商应保证所有相关资质证书在项目实施期内持续有效。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2.未按合同要求提供服务或服务质量不能满足服务要求和标准，采购人有权终止合同，并对服务单位违约行为进行追究，同时按《中华人民共和国政府采购法》的有关规定进行处罚。 3.与本合同有关的一切争议，双方应当进行友好协商，协商不成的，双方均有权向甲方所在地有管辖权的人民法院提起诉讼。4、供应商应保证所有相关资质证书在项目实施期内持续有效。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2.未按合同要求提供服务或服务质量不能满足服务要求和标准，采购人有权终止合同，并对服务单位违约行为进行追究，同时按《中华人民共和国政府采购法》的有关规定进行处罚。 3.与本合同有关的一切争议，双方应当进行友好协商，协商不成的，双方均有权向甲方所在地有管辖权的人民法院提起诉讼。4、供应商应保证所有相关资质证书在项目实施期内持续有效。</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3.2服务内容及服务要求、3.3商务要求”均为实质性要求，不得负偏离。2、中标人在领取中标通知书时提供一正两副纸质投标文件。纸质投标文件采用书籍（胶装）方式装订成册，与电子投标文件一致的签字、盖章的完整版本（正本为红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投标人认为有必要补充说明的事宜.docx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供应商需在项目电子化交易系统中按要求填写《投标函》完成承诺并进行电子签章。本项与特殊资格要求的“控股关系查询”为同一审查内容。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投标人须具备行政主管部门颁发的测绘乙级（含乙级）及以上资质；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投标人须具备行政主管部门颁发的测绘乙级（含乙级）及以上资质；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投标人须具备行政主管部门颁发的测绘乙级（含乙级）及以上资质；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投标人须具备行政主管部门颁发的测绘乙级（含乙级）及以上资质；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控股单位查询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投标分项报价表.docx 《拒绝政府采购领域商业贿赂承诺书》.docx 投标函 残疾人福利性单位声明函 服务响应偏离表.docx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服务响应及商务响应</w:t>
            </w:r>
          </w:p>
        </w:tc>
        <w:tc>
          <w:tcPr>
            <w:tcW w:type="dxa" w:w="3322"/>
          </w:tcPr>
          <w:p>
            <w:pPr>
              <w:pStyle w:val="null3"/>
            </w:pPr>
            <w:r>
              <w:rPr>
                <w:rFonts w:ascii="仿宋_GB2312" w:hAnsi="仿宋_GB2312" w:cs="仿宋_GB2312" w:eastAsia="仿宋_GB2312"/>
              </w:rPr>
              <w:t>对招标文件服务内容及要求、商务要求是否作出明确且实质性响应</w:t>
            </w:r>
          </w:p>
        </w:tc>
        <w:tc>
          <w:tcPr>
            <w:tcW w:type="dxa" w:w="1661"/>
          </w:tcPr>
          <w:p>
            <w:pPr>
              <w:pStyle w:val="null3"/>
            </w:pPr>
            <w:r>
              <w:rPr>
                <w:rFonts w:ascii="仿宋_GB2312" w:hAnsi="仿宋_GB2312" w:cs="仿宋_GB2312" w:eastAsia="仿宋_GB2312"/>
              </w:rPr>
              <w:t>服务响应偏离表.docx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投标分项报价表.docx 《拒绝政府采购领域商业贿赂承诺书》.docx 投标函 残疾人福利性单位声明函 服务响应偏离表.docx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服务响应及商务响应</w:t>
            </w:r>
          </w:p>
        </w:tc>
        <w:tc>
          <w:tcPr>
            <w:tcW w:type="dxa" w:w="3322"/>
          </w:tcPr>
          <w:p>
            <w:pPr>
              <w:pStyle w:val="null3"/>
            </w:pPr>
            <w:r>
              <w:rPr>
                <w:rFonts w:ascii="仿宋_GB2312" w:hAnsi="仿宋_GB2312" w:cs="仿宋_GB2312" w:eastAsia="仿宋_GB2312"/>
              </w:rPr>
              <w:t>对招标文件服务内容及要求、商务要求是否作出明确且实质性响应</w:t>
            </w:r>
          </w:p>
        </w:tc>
        <w:tc>
          <w:tcPr>
            <w:tcW w:type="dxa" w:w="1661"/>
          </w:tcPr>
          <w:p>
            <w:pPr>
              <w:pStyle w:val="null3"/>
            </w:pPr>
            <w:r>
              <w:rPr>
                <w:rFonts w:ascii="仿宋_GB2312" w:hAnsi="仿宋_GB2312" w:cs="仿宋_GB2312" w:eastAsia="仿宋_GB2312"/>
              </w:rPr>
              <w:t>服务响应偏离表.docx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投标分项报价表.docx 《拒绝政府采购领域商业贿赂承诺书》.docx 投标函 残疾人福利性单位声明函 服务响应偏离表.docx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服务响应及商务响应</w:t>
            </w:r>
          </w:p>
        </w:tc>
        <w:tc>
          <w:tcPr>
            <w:tcW w:type="dxa" w:w="3322"/>
          </w:tcPr>
          <w:p>
            <w:pPr>
              <w:pStyle w:val="null3"/>
            </w:pPr>
            <w:r>
              <w:rPr>
                <w:rFonts w:ascii="仿宋_GB2312" w:hAnsi="仿宋_GB2312" w:cs="仿宋_GB2312" w:eastAsia="仿宋_GB2312"/>
              </w:rPr>
              <w:t>对招标文件服务内容及要求、商务要求是否作出明确且实质性响应</w:t>
            </w:r>
          </w:p>
        </w:tc>
        <w:tc>
          <w:tcPr>
            <w:tcW w:type="dxa" w:w="1661"/>
          </w:tcPr>
          <w:p>
            <w:pPr>
              <w:pStyle w:val="null3"/>
            </w:pPr>
            <w:r>
              <w:rPr>
                <w:rFonts w:ascii="仿宋_GB2312" w:hAnsi="仿宋_GB2312" w:cs="仿宋_GB2312" w:eastAsia="仿宋_GB2312"/>
              </w:rPr>
              <w:t>服务响应偏离表.docx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投标分项报价表.docx 《拒绝政府采购领域商业贿赂承诺书》.docx 投标函 残疾人福利性单位声明函 服务响应偏离表.docx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服务响应及商务响应</w:t>
            </w:r>
          </w:p>
        </w:tc>
        <w:tc>
          <w:tcPr>
            <w:tcW w:type="dxa" w:w="3322"/>
          </w:tcPr>
          <w:p>
            <w:pPr>
              <w:pStyle w:val="null3"/>
            </w:pPr>
            <w:r>
              <w:rPr>
                <w:rFonts w:ascii="仿宋_GB2312" w:hAnsi="仿宋_GB2312" w:cs="仿宋_GB2312" w:eastAsia="仿宋_GB2312"/>
              </w:rPr>
              <w:t>对招标文件服务内容及要求、商务要求是否作出明确且实质性响应</w:t>
            </w:r>
          </w:p>
        </w:tc>
        <w:tc>
          <w:tcPr>
            <w:tcW w:type="dxa" w:w="1661"/>
          </w:tcPr>
          <w:p>
            <w:pPr>
              <w:pStyle w:val="null3"/>
            </w:pPr>
            <w:r>
              <w:rPr>
                <w:rFonts w:ascii="仿宋_GB2312" w:hAnsi="仿宋_GB2312" w:cs="仿宋_GB2312" w:eastAsia="仿宋_GB2312"/>
              </w:rPr>
              <w:t>服务响应偏离表.docx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总体工作思路</w:t>
            </w:r>
          </w:p>
        </w:tc>
        <w:tc>
          <w:tcPr>
            <w:tcW w:type="dxa" w:w="2492"/>
          </w:tcPr>
          <w:p>
            <w:pPr>
              <w:pStyle w:val="null3"/>
            </w:pPr>
            <w:r>
              <w:rPr>
                <w:rFonts w:ascii="仿宋_GB2312" w:hAnsi="仿宋_GB2312" w:cs="仿宋_GB2312" w:eastAsia="仿宋_GB2312"/>
              </w:rPr>
              <w:t>投标人编制针对本项目的总体工作思路，包括但不限于①项目需求理解；②工作实施思路、技术路线。 评审标准：投标人对项目背景、相关政策掌握全面，对项目总体认识深刻，项目需求定位准确，工作思路清晰，论述完整详细得4分。以上内容每缺少一项扣2分，每有任意一处缺陷扣0.5分；扣完为止。 注：缺陷是指内容不合理、内容仅有粗略表述不具体、内容表述前后不一致、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总体工作思路.docx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制定针对本项目的实施方案，包括但不限于①工作进度计划及措施；②成果交付时限及保证措施；③项目组织架构及人员职责划分；④工作组织协调措施；⑤拟投入的设备配置；⑥重难点分析及解决措施；⑦应急预案及措施等 评审标准：各项内容全面详细，相关措施具体可行，组织架构清晰，职责划分明确，拟投入设备专业齐全能满足项目需求，阐述条理清晰，计14分。 以上内容每缺少一项扣2分，每有任意一处缺陷扣0.5分；扣完为止。 注：缺陷是指内容不合理、内容仅有粗略表述不具体、内容表述前后不一致、内容逻辑混乱、内容存在采购人或项目名称或项目区域等明显错误、设备配置不足、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投标人制定针对本项目的质量保证方案，包括但不限于①质量控制方案及措施；②数据质量与成果交付质量保证；③质量问题整改方案及措施等。 评审标准：各项内容全面详细，相关保证措施具体可行，阐述条理清晰，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投标人制定针对本项目的保密措施，包括但不限于：①保密计划及方案；②数据保密制度等。 评审标准：各项内容全面详细，相关制度及计划具体可行，阐述条理清晰，计4分。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成果管理方案</w:t>
            </w:r>
          </w:p>
        </w:tc>
        <w:tc>
          <w:tcPr>
            <w:tcW w:type="dxa" w:w="2492"/>
          </w:tcPr>
          <w:p>
            <w:pPr>
              <w:pStyle w:val="null3"/>
            </w:pPr>
            <w:r>
              <w:rPr>
                <w:rFonts w:ascii="仿宋_GB2312" w:hAnsi="仿宋_GB2312" w:cs="仿宋_GB2312" w:eastAsia="仿宋_GB2312"/>
              </w:rPr>
              <w:t>投标人制定针对本项目的成果管理方案，包括但不限于①成果管理方法、②成果归档制度、③成果资料安全管理制度等。 评审标准：各项内容全面详细，方法具体可行，制度合理，阐述条理清晰，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成果管理方案.docx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投标人制定针对本项目的服务承诺，包括但不限于①廉洁履约及违约责任承诺；②对本项目实施、协调过程、成果审核及后续技术支持服务承诺；③针对本项目的合理化建议等。 评审标准：各项内容全面详细，承诺及措施具体可行，建议合理具体，阐述条理清晰，计6分。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项目组人员1：项目负责人</w:t>
            </w:r>
          </w:p>
        </w:tc>
        <w:tc>
          <w:tcPr>
            <w:tcW w:type="dxa" w:w="2492"/>
          </w:tcPr>
          <w:p>
            <w:pPr>
              <w:pStyle w:val="null3"/>
            </w:pPr>
            <w:r>
              <w:rPr>
                <w:rFonts w:ascii="仿宋_GB2312" w:hAnsi="仿宋_GB2312" w:cs="仿宋_GB2312" w:eastAsia="仿宋_GB2312"/>
              </w:rPr>
              <w:t>拟派项目负责人具有相关专业高级技术职称得4分，中级技术职称得2分。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项目组人员2、技术负责人</w:t>
            </w:r>
          </w:p>
        </w:tc>
        <w:tc>
          <w:tcPr>
            <w:tcW w:type="dxa" w:w="2492"/>
          </w:tcPr>
          <w:p>
            <w:pPr>
              <w:pStyle w:val="null3"/>
            </w:pPr>
            <w:r>
              <w:rPr>
                <w:rFonts w:ascii="仿宋_GB2312" w:hAnsi="仿宋_GB2312" w:cs="仿宋_GB2312" w:eastAsia="仿宋_GB2312"/>
              </w:rPr>
              <w:t>拟派技术负责人具有相关专业高级技术职称的得4分，中级技术职称得2分。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项目组人员3、团队人员1</w:t>
            </w:r>
          </w:p>
        </w:tc>
        <w:tc>
          <w:tcPr>
            <w:tcW w:type="dxa" w:w="2492"/>
          </w:tcPr>
          <w:p>
            <w:pPr>
              <w:pStyle w:val="null3"/>
            </w:pPr>
            <w:r>
              <w:rPr>
                <w:rFonts w:ascii="仿宋_GB2312" w:hAnsi="仿宋_GB2312" w:cs="仿宋_GB2312" w:eastAsia="仿宋_GB2312"/>
              </w:rPr>
              <w:t>拟投入本项目的团队人员中（除项目负责人及技术负责人外）每具有相关专业高级技术职称的1名得4分，中级技术职称一名得2分。本项满分6分。 注：须提供相关证书复印件。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项目组人员4、团队人员2</w:t>
            </w:r>
          </w:p>
        </w:tc>
        <w:tc>
          <w:tcPr>
            <w:tcW w:type="dxa" w:w="2492"/>
          </w:tcPr>
          <w:p>
            <w:pPr>
              <w:pStyle w:val="null3"/>
            </w:pPr>
            <w:r>
              <w:rPr>
                <w:rFonts w:ascii="仿宋_GB2312" w:hAnsi="仿宋_GB2312" w:cs="仿宋_GB2312" w:eastAsia="仿宋_GB2312"/>
              </w:rPr>
              <w:t>拟投入本项目的团队人员（除项目负责人及技术负责人外）具有土地类或测绘类或地理信息类或遥感科学与技术专业，每提供1人得2分，共10分。 注：提供专业相关证明材料。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投标人提供自2023年1月1日至今（以合同签订日期为准）同类项目的业绩合同，每份计2分，满分6分。 注：提供合同复印件并加盖投标人公章，合同须完整提供，提供不全的不予计分。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总体工作思路</w:t>
            </w:r>
          </w:p>
        </w:tc>
        <w:tc>
          <w:tcPr>
            <w:tcW w:type="dxa" w:w="2492"/>
          </w:tcPr>
          <w:p>
            <w:pPr>
              <w:pStyle w:val="null3"/>
            </w:pPr>
            <w:r>
              <w:rPr>
                <w:rFonts w:ascii="仿宋_GB2312" w:hAnsi="仿宋_GB2312" w:cs="仿宋_GB2312" w:eastAsia="仿宋_GB2312"/>
              </w:rPr>
              <w:t>投标人编制针对本项目的总体工作思路，包括但不限于①项目需求理解；②工作实施思路、技术路线。 评审标准：投标人对项目背景、相关政策掌握全面，对项目总体认识深刻，项目需求定位准确，工作思路清晰，论述完整详细得4分。以上内容每缺少一项扣2分，每有任意一处缺陷扣0.5分；扣完为止。 注：缺陷是指内容不合理、内容仅有粗略表述不具体、内容表述前后不一致、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总体工作思路.docx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制定针对本项目的实施方案，包括但不限于①工作进度计划及措施；②成果交付时限及保证措施；③项目组织架构及人员职责划分；④工作组织协调措施；⑤拟投入的设备配置；⑥重难点分析及解决措施；⑦应急预案及措施等 评审标准：各项内容全面详细，相关措施具体可行，组织架构清晰，职责划分明确，拟投入设备专业齐全能满足项目需求，阐述条理清晰，计14分。 以上内容每缺少一项扣2分，每有任意一处缺陷扣0.5分；扣完为止。 注：缺陷是指内容不合理、内容仅有粗略表述不具体、内容表述前后不一致、内容逻辑混乱、内容存在采购人或项目名称或项目区域等明显错误、设备配置不足、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投标人制定针对本项目的质量保证方案，包括但不限于①质量控制方案及措施；②数据质量与成果交付质量保证；③质量问题整改方案及措施等。 评审标准：各项内容全面详细，相关保证措施具体可行，阐述条理清晰，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投标人制定针对本项目的保密措施，包括但不限于：①保密计划及方案；②数据保密制度等。 评审标准：各项内容全面详细，相关制度及计划具体可行，阐述条理清晰，计4分。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成果管理方案</w:t>
            </w:r>
          </w:p>
        </w:tc>
        <w:tc>
          <w:tcPr>
            <w:tcW w:type="dxa" w:w="2492"/>
          </w:tcPr>
          <w:p>
            <w:pPr>
              <w:pStyle w:val="null3"/>
            </w:pPr>
            <w:r>
              <w:rPr>
                <w:rFonts w:ascii="仿宋_GB2312" w:hAnsi="仿宋_GB2312" w:cs="仿宋_GB2312" w:eastAsia="仿宋_GB2312"/>
              </w:rPr>
              <w:t>投标人制定针对本项目的成果管理方案，包括但不限于①成果管理方法、②成果归档制度、③成果资料安全管理制度等。 评审标准：各项内容全面详细，方法具体可行，制度合理，阐述条理清晰，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成果管理方案.docx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投标人制定针对本项目的服务承诺，包括但不限于①廉洁履约及违约责任承诺；②对本项目实施、协调过程、成果审核及后续技术支持服务承诺；③针对本项目的合理化建议等。 评审标准：各项内容全面详细，承诺及措施具体可行，建议合理具体，阐述条理清晰，计6分。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项目组人员1：项目负责人</w:t>
            </w:r>
          </w:p>
        </w:tc>
        <w:tc>
          <w:tcPr>
            <w:tcW w:type="dxa" w:w="2492"/>
          </w:tcPr>
          <w:p>
            <w:pPr>
              <w:pStyle w:val="null3"/>
            </w:pPr>
            <w:r>
              <w:rPr>
                <w:rFonts w:ascii="仿宋_GB2312" w:hAnsi="仿宋_GB2312" w:cs="仿宋_GB2312" w:eastAsia="仿宋_GB2312"/>
              </w:rPr>
              <w:t>拟派项目负责人具有相关专业高级技术职称得4分，中级技术职称得2分。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项目组人员2、技术负责人</w:t>
            </w:r>
          </w:p>
        </w:tc>
        <w:tc>
          <w:tcPr>
            <w:tcW w:type="dxa" w:w="2492"/>
          </w:tcPr>
          <w:p>
            <w:pPr>
              <w:pStyle w:val="null3"/>
            </w:pPr>
            <w:r>
              <w:rPr>
                <w:rFonts w:ascii="仿宋_GB2312" w:hAnsi="仿宋_GB2312" w:cs="仿宋_GB2312" w:eastAsia="仿宋_GB2312"/>
              </w:rPr>
              <w:t>拟派技术负责人具有相关专业高级技术职称的得4分，中级技术职称得2分。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项目组人员3、团队人员1</w:t>
            </w:r>
          </w:p>
        </w:tc>
        <w:tc>
          <w:tcPr>
            <w:tcW w:type="dxa" w:w="2492"/>
          </w:tcPr>
          <w:p>
            <w:pPr>
              <w:pStyle w:val="null3"/>
            </w:pPr>
            <w:r>
              <w:rPr>
                <w:rFonts w:ascii="仿宋_GB2312" w:hAnsi="仿宋_GB2312" w:cs="仿宋_GB2312" w:eastAsia="仿宋_GB2312"/>
              </w:rPr>
              <w:t>拟投入本项目的团队人员中（除项目负责人及技术负责人外）每具有相关专业高级技术职称的1名得4分，中级技术职称一名得2分。本项满分6分。 注：须提供相关证书复印件。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项目组人员4、团队人员2</w:t>
            </w:r>
          </w:p>
        </w:tc>
        <w:tc>
          <w:tcPr>
            <w:tcW w:type="dxa" w:w="2492"/>
          </w:tcPr>
          <w:p>
            <w:pPr>
              <w:pStyle w:val="null3"/>
            </w:pPr>
            <w:r>
              <w:rPr>
                <w:rFonts w:ascii="仿宋_GB2312" w:hAnsi="仿宋_GB2312" w:cs="仿宋_GB2312" w:eastAsia="仿宋_GB2312"/>
              </w:rPr>
              <w:t>拟投入本项目的团队人员（除项目负责人及技术负责人外）具有土地类或测绘类或地理信息类或遥感科学与技术专业，每提供1人得2分，共10分。 注：提供专业相关证明材料。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投标人提供自2023年1月1日至今（以合同签订日期为准）同类项目的业绩合同，每份计2分，满分6分。 注：提供合同复印件并加盖投标人公章，合同须完整提供，提供不全的不予计分。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总体工作思路</w:t>
            </w:r>
          </w:p>
        </w:tc>
        <w:tc>
          <w:tcPr>
            <w:tcW w:type="dxa" w:w="2492"/>
          </w:tcPr>
          <w:p>
            <w:pPr>
              <w:pStyle w:val="null3"/>
            </w:pPr>
            <w:r>
              <w:rPr>
                <w:rFonts w:ascii="仿宋_GB2312" w:hAnsi="仿宋_GB2312" w:cs="仿宋_GB2312" w:eastAsia="仿宋_GB2312"/>
              </w:rPr>
              <w:t>投标人编制针对本项目的总体工作思路，包括但不限于①项目需求理解；②工作实施思路、技术路线。 评审标准：投标人对项目背景、相关政策掌握全面，对项目总体认识深刻，项目需求定位准确，工作思路清晰，论述完整详细得4分。以上内容每缺少一项扣2分，每有任意一处缺陷扣0.5分；扣完为止。 注：缺陷是指内容不合理、内容仅有粗略表述不具体、内容表述前后不一致、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总体工作思路.docx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制定针对本项目的实施方案，包括但不限于①工作进度计划及措施；②成果交付时限及保证措施；③项目组织架构及人员职责划分；④工作组织协调措施；⑤拟投入的设备配置；⑥重难点分析及解决措施；⑦应急预案及措施等 评审标准：各项内容全面详细，相关措施具体可行，组织架构清晰，职责划分明确，拟投入设备专业齐全能满足项目需求，阐述条理清晰，计14分。 以上内容每缺少一项扣2分，每有任意一处缺陷扣0.5分；扣完为止。 注：缺陷是指内容不合理、内容仅有粗略表述不具体、内容表述前后不一致、内容逻辑混乱、内容存在采购人或项目名称或项目区域等明显错误、设备配置不足、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投标人制定针对本项目的质量保证方案，包括但不限于①质量控制方案及措施；②数据质量与成果交付质量保证；③质量问题整改方案及措施等。 评审标准：各项内容全面详细，相关保证措施具体可行，阐述条理清晰，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投标人制定针对本项目的保密措施，包括但不限于：①保密计划及方案；②数据保密制度等。 评审标准：各项内容全面详细，相关制度及计划具体可行，阐述条理清晰，计4分。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成果管理方案</w:t>
            </w:r>
          </w:p>
        </w:tc>
        <w:tc>
          <w:tcPr>
            <w:tcW w:type="dxa" w:w="2492"/>
          </w:tcPr>
          <w:p>
            <w:pPr>
              <w:pStyle w:val="null3"/>
            </w:pPr>
            <w:r>
              <w:rPr>
                <w:rFonts w:ascii="仿宋_GB2312" w:hAnsi="仿宋_GB2312" w:cs="仿宋_GB2312" w:eastAsia="仿宋_GB2312"/>
              </w:rPr>
              <w:t>投标人制定针对本项目的成果管理方案，包括但不限于①成果管理方法、②成果归档制度、③成果资料安全管理制度等。 评审标准：各项内容全面详细，方法具体可行，制度合理，阐述条理清晰，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成果管理方案.docx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投标人制定针对本项目的服务承诺，包括但不限于①廉洁履约及违约责任承诺；②对本项目实施、协调过程、成果审核及后续技术支持服务承诺；③针对本项目的合理化建议等。 评审标准：各项内容全面详细，承诺及措施具体可行，建议合理具体，阐述条理清晰，计6分。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项目组人员1：项目负责人</w:t>
            </w:r>
          </w:p>
        </w:tc>
        <w:tc>
          <w:tcPr>
            <w:tcW w:type="dxa" w:w="2492"/>
          </w:tcPr>
          <w:p>
            <w:pPr>
              <w:pStyle w:val="null3"/>
            </w:pPr>
            <w:r>
              <w:rPr>
                <w:rFonts w:ascii="仿宋_GB2312" w:hAnsi="仿宋_GB2312" w:cs="仿宋_GB2312" w:eastAsia="仿宋_GB2312"/>
              </w:rPr>
              <w:t>拟派项目负责人具有相关专业高级技术职称得4分，中级技术职称得2分。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项目组人员2、技术负责人</w:t>
            </w:r>
          </w:p>
        </w:tc>
        <w:tc>
          <w:tcPr>
            <w:tcW w:type="dxa" w:w="2492"/>
          </w:tcPr>
          <w:p>
            <w:pPr>
              <w:pStyle w:val="null3"/>
            </w:pPr>
            <w:r>
              <w:rPr>
                <w:rFonts w:ascii="仿宋_GB2312" w:hAnsi="仿宋_GB2312" w:cs="仿宋_GB2312" w:eastAsia="仿宋_GB2312"/>
              </w:rPr>
              <w:t>拟派技术负责人具有相关专业高级技术职称的得4分，中级技术职称得2分。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项目组人员3、团队人员1</w:t>
            </w:r>
          </w:p>
        </w:tc>
        <w:tc>
          <w:tcPr>
            <w:tcW w:type="dxa" w:w="2492"/>
          </w:tcPr>
          <w:p>
            <w:pPr>
              <w:pStyle w:val="null3"/>
            </w:pPr>
            <w:r>
              <w:rPr>
                <w:rFonts w:ascii="仿宋_GB2312" w:hAnsi="仿宋_GB2312" w:cs="仿宋_GB2312" w:eastAsia="仿宋_GB2312"/>
              </w:rPr>
              <w:t>拟投入本项目的团队人员中（除项目负责人及技术负责人外）每具有相关专业高级技术职称的1名得4分，中级技术职称一名得2分。本项满分6分。 注：须提供相关证书复印件。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项目组人员4、团队人员2</w:t>
            </w:r>
          </w:p>
        </w:tc>
        <w:tc>
          <w:tcPr>
            <w:tcW w:type="dxa" w:w="2492"/>
          </w:tcPr>
          <w:p>
            <w:pPr>
              <w:pStyle w:val="null3"/>
            </w:pPr>
            <w:r>
              <w:rPr>
                <w:rFonts w:ascii="仿宋_GB2312" w:hAnsi="仿宋_GB2312" w:cs="仿宋_GB2312" w:eastAsia="仿宋_GB2312"/>
              </w:rPr>
              <w:t>拟投入本项目的团队人员（除项目负责人及技术负责人外）具有土地类或测绘类或地理信息类或遥感科学与技术专业，每提供1人得2分，共10分。 注：提供专业相关证明材料。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投标人提供自2023年1月1日至今（以合同签订日期为准）同类项目的业绩合同，每份计2分，满分6分。 注：提供合同复印件并加盖投标人公章，合同须完整提供，提供不全的不予计分。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总体工作思路</w:t>
            </w:r>
          </w:p>
        </w:tc>
        <w:tc>
          <w:tcPr>
            <w:tcW w:type="dxa" w:w="2492"/>
          </w:tcPr>
          <w:p>
            <w:pPr>
              <w:pStyle w:val="null3"/>
            </w:pPr>
            <w:r>
              <w:rPr>
                <w:rFonts w:ascii="仿宋_GB2312" w:hAnsi="仿宋_GB2312" w:cs="仿宋_GB2312" w:eastAsia="仿宋_GB2312"/>
              </w:rPr>
              <w:t>投标人编制针对本项目的总体工作思路，包括但不限于①项目需求理解；②工作实施思路、技术路线。 评审标准：投标人对项目背景、相关政策掌握全面，对项目总体认识深刻，项目需求定位准确，工作思路清晰，论述完整详细得4分。以上内容每缺少一项扣2分，每有任意一处缺陷扣0.5分；扣完为止。 注：缺陷是指内容不合理、内容仅有粗略表述不具体、内容表述前后不一致、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总体工作思路.docx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制定针对本项目的实施方案，包括但不限于①工作进度计划及措施；②成果交付时限及保证措施；③项目组织架构及人员职责划分；④工作组织协调措施；⑤拟投入的设备配置；⑥重难点分析及解决措施；⑦应急预案及措施等 评审标准：各项内容全面详细，相关措施具体可行，组织架构清晰，职责划分明确，拟投入设备专业齐全能满足项目需求，阐述条理清晰，计14分。 以上内容每缺少一项扣2分，每有任意一处缺陷扣0.5分；扣完为止。 注：缺陷是指内容不合理、内容仅有粗略表述不具体、内容表述前后不一致、内容逻辑混乱、内容存在采购人或项目名称或项目区域等明显错误、设备配置不足、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投标人制定针对本项目的质量保证方案，包括但不限于①质量控制方案及措施；②数据质量与成果交付质量保证；③质量问题整改方案及措施等。 评审标准：各项内容全面详细，相关保证措施具体可行，阐述条理清晰，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投标人制定针对本项目的保密措施，包括但不限于：①保密计划及方案；②数据保密制度等。 评审标准：各项内容全面详细，相关制度及计划具体可行，阐述条理清晰，计4分。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成果管理方案</w:t>
            </w:r>
          </w:p>
        </w:tc>
        <w:tc>
          <w:tcPr>
            <w:tcW w:type="dxa" w:w="2492"/>
          </w:tcPr>
          <w:p>
            <w:pPr>
              <w:pStyle w:val="null3"/>
            </w:pPr>
            <w:r>
              <w:rPr>
                <w:rFonts w:ascii="仿宋_GB2312" w:hAnsi="仿宋_GB2312" w:cs="仿宋_GB2312" w:eastAsia="仿宋_GB2312"/>
              </w:rPr>
              <w:t>投标人制定针对本项目的成果管理方案，包括但不限于①成果管理方法、②成果归档制度、③成果资料安全管理制度等。 评审标准：各项内容全面详细，方法具体可行，制度合理，阐述条理清晰， 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成果管理方案.docx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投标人制定针对本项目的服务承诺，包括但不限于①廉洁履约及违约责任承诺；②对本项目实施、协调过程、成果审核及后续技术支持服务承诺；③针对本项目的合理化建议等。 评审标准：各项内容全面详细，承诺及措施具体可行，建议合理具体，阐述条理清晰，计6分。 以上内容每缺少一项扣2分，每有任意一处缺陷扣0.5分；扣完为止。 注：缺陷是指内容不合理、内容仅有粗略表述不具体、内容表述前后不一致、内容逻辑混乱、内容存在采购人或项目名称或项目区域等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项目组人员1：项目负责人</w:t>
            </w:r>
          </w:p>
        </w:tc>
        <w:tc>
          <w:tcPr>
            <w:tcW w:type="dxa" w:w="2492"/>
          </w:tcPr>
          <w:p>
            <w:pPr>
              <w:pStyle w:val="null3"/>
            </w:pPr>
            <w:r>
              <w:rPr>
                <w:rFonts w:ascii="仿宋_GB2312" w:hAnsi="仿宋_GB2312" w:cs="仿宋_GB2312" w:eastAsia="仿宋_GB2312"/>
              </w:rPr>
              <w:t>拟派项目负责人具有相关专业高级技术职称得4分，中级技术职称得2分。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项目组人员2、技术负责人</w:t>
            </w:r>
          </w:p>
        </w:tc>
        <w:tc>
          <w:tcPr>
            <w:tcW w:type="dxa" w:w="2492"/>
          </w:tcPr>
          <w:p>
            <w:pPr>
              <w:pStyle w:val="null3"/>
            </w:pPr>
            <w:r>
              <w:rPr>
                <w:rFonts w:ascii="仿宋_GB2312" w:hAnsi="仿宋_GB2312" w:cs="仿宋_GB2312" w:eastAsia="仿宋_GB2312"/>
              </w:rPr>
              <w:t>拟派技术负责人具有相关专业高级技术职称的得4分，中级技术职称得2分。 注：须提供相关证书复印件及2026年1月至开标前任意一个月在投标人本单位缴纳社会保障资金证明材料。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项目组人员3、团队人员1</w:t>
            </w:r>
          </w:p>
        </w:tc>
        <w:tc>
          <w:tcPr>
            <w:tcW w:type="dxa" w:w="2492"/>
          </w:tcPr>
          <w:p>
            <w:pPr>
              <w:pStyle w:val="null3"/>
            </w:pPr>
            <w:r>
              <w:rPr>
                <w:rFonts w:ascii="仿宋_GB2312" w:hAnsi="仿宋_GB2312" w:cs="仿宋_GB2312" w:eastAsia="仿宋_GB2312"/>
              </w:rPr>
              <w:t>拟投入本项目的团队人员中（除项目负责人及技术负责人外）每具有相关专业高级技术职称的1名得4分，中级技术职称一名得2分。本项满分6分。 注：须提供相关证书复印件。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项目组人员4、团队人员2</w:t>
            </w:r>
          </w:p>
        </w:tc>
        <w:tc>
          <w:tcPr>
            <w:tcW w:type="dxa" w:w="2492"/>
          </w:tcPr>
          <w:p>
            <w:pPr>
              <w:pStyle w:val="null3"/>
            </w:pPr>
            <w:r>
              <w:rPr>
                <w:rFonts w:ascii="仿宋_GB2312" w:hAnsi="仿宋_GB2312" w:cs="仿宋_GB2312" w:eastAsia="仿宋_GB2312"/>
              </w:rPr>
              <w:t>拟投入本项目的团队人员（除项目负责人及技术负责人外）具有土地类或测绘类或地理信息类或遥感科学与技术专业，每提供1人得2分，共10分。 注：提供专业相关证明材料。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投标人提供自2023年1月1日至今（以合同签订日期为准）同类项目的业绩合同，每份计2分，满分6分。 注：提供合同复印件并加盖投标人公章，合同须完整提供，提供不全的不予计分。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详见附件：总体工作思路.docx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详见附件：成果管理方案.docx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详见附件：总体工作思路.docx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详见附件：成果管理方案.docx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详见附件：总体工作思路.docx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详见附件：成果管理方案.docx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详见附件：总体工作思路.docx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详见附件：成果管理方案.docx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