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版本号：ZJZB2026-ZCCS-06020260811001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兴隆街道GX3-17-41地块（西户路及行道树）清表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ZJZB2026-ZCCS-060</w:t>
      </w:r>
      <w:r>
        <w:br/>
      </w:r>
      <w:r>
        <w:br/>
      </w:r>
      <w:r>
        <w:br/>
      </w:r>
    </w:p>
    <w:p>
      <w:pPr>
        <w:pStyle w:val="null3"/>
        <w:jc w:val="center"/>
        <w:outlineLvl w:val="2"/>
      </w:pPr>
      <w:r>
        <w:rPr>
          <w:rFonts w:ascii="仿宋_GB2312" w:hAnsi="仿宋_GB2312" w:cs="仿宋_GB2312" w:eastAsia="仿宋_GB2312"/>
          <w:sz w:val="28"/>
          <w:b/>
        </w:rPr>
        <w:t>西安市长安区兴隆街道办事处</w:t>
      </w:r>
    </w:p>
    <w:p>
      <w:pPr>
        <w:pStyle w:val="null3"/>
        <w:jc w:val="center"/>
        <w:outlineLvl w:val="2"/>
      </w:pPr>
      <w:r>
        <w:rPr>
          <w:rFonts w:ascii="仿宋_GB2312" w:hAnsi="仿宋_GB2312" w:cs="仿宋_GB2312" w:eastAsia="仿宋_GB2312"/>
          <w:sz w:val="28"/>
          <w:b/>
        </w:rPr>
        <w:t>西安中金招标代理有限责任公司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西安中金招标代理有限责任公司</w:t>
      </w:r>
      <w:r>
        <w:rPr>
          <w:rFonts w:ascii="仿宋_GB2312" w:hAnsi="仿宋_GB2312" w:cs="仿宋_GB2312" w:eastAsia="仿宋_GB2312"/>
        </w:rPr>
        <w:t>（以下简称“代理机构”）受</w:t>
      </w:r>
      <w:r>
        <w:rPr>
          <w:rFonts w:ascii="仿宋_GB2312" w:hAnsi="仿宋_GB2312" w:cs="仿宋_GB2312" w:eastAsia="仿宋_GB2312"/>
        </w:rPr>
        <w:t>西安市长安区兴隆街道办事处</w:t>
      </w:r>
      <w:r>
        <w:rPr>
          <w:rFonts w:ascii="仿宋_GB2312" w:hAnsi="仿宋_GB2312" w:cs="仿宋_GB2312" w:eastAsia="仿宋_GB2312"/>
        </w:rPr>
        <w:t>委托，拟对</w:t>
      </w:r>
      <w:r>
        <w:rPr>
          <w:rFonts w:ascii="仿宋_GB2312" w:hAnsi="仿宋_GB2312" w:cs="仿宋_GB2312" w:eastAsia="仿宋_GB2312"/>
        </w:rPr>
        <w:t>兴隆街道GX3-17-41地块（西户路及行道树）清表</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ZJZB2026-ZCCS-060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兴隆街道GX3-17-41地块（西户路及行道树）清表</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西安市长安区兴隆街道办事处兴隆街道GX3-17-41地块(西户路及行道树)清表项目，具体内容详见采购文件。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采购包1（兴隆街道GX3-17-41地块(西户路及行道树)清表项目）：属于专门面向中小企业采购。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1、主体资格：供应商应为具有独立承担民事责任能力的法人、其他组织或自然人：法人或者其他组织提供营业执照等证明文件，自然人提供身份证件；</w:t>
      </w:r>
    </w:p>
    <w:p>
      <w:pPr>
        <w:pStyle w:val="null3"/>
      </w:pPr>
      <w:r>
        <w:rPr>
          <w:rFonts w:ascii="仿宋_GB2312" w:hAnsi="仿宋_GB2312" w:cs="仿宋_GB2312" w:eastAsia="仿宋_GB2312"/>
        </w:rPr>
        <w:t>2、税收缴纳凭证：税收缴纳凭证：提供递交响应文件截止时间前一年内任意一个月的纳税证明或完税证明，依法免税的单位应提供相关证明材料；</w:t>
      </w:r>
    </w:p>
    <w:p>
      <w:pPr>
        <w:pStyle w:val="null3"/>
      </w:pPr>
      <w:r>
        <w:rPr>
          <w:rFonts w:ascii="仿宋_GB2312" w:hAnsi="仿宋_GB2312" w:cs="仿宋_GB2312" w:eastAsia="仿宋_GB2312"/>
        </w:rPr>
        <w:t>3、社会保险缴纳的凭证：社会保险缴纳的凭证：提供递交响应文件截止时间前一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5、财务状况报告：供应商需提供递交响应文件截止时间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或提供其递交响应文件截止时间前六个月内基本开户银行出具的资信证明；</w:t>
      </w:r>
    </w:p>
    <w:p>
      <w:pPr>
        <w:pStyle w:val="null3"/>
      </w:pPr>
      <w:r>
        <w:rPr>
          <w:rFonts w:ascii="仿宋_GB2312" w:hAnsi="仿宋_GB2312" w:cs="仿宋_GB2312" w:eastAsia="仿宋_GB2312"/>
        </w:rPr>
        <w:t>6、履行合同所必需的设备和专业技术能力书面声明：提供具有履行本合同所必需的设备和专业技术能力的声明；</w:t>
      </w:r>
    </w:p>
    <w:p>
      <w:pPr>
        <w:pStyle w:val="null3"/>
      </w:pPr>
      <w:r>
        <w:rPr>
          <w:rFonts w:ascii="仿宋_GB2312" w:hAnsi="仿宋_GB2312" w:cs="仿宋_GB2312" w:eastAsia="仿宋_GB2312"/>
        </w:rPr>
        <w:t>7、供应商资质：供应商须具备建设行政主管部门颁发的建筑工程施工总承包三级及以上资质，且具备有效的安全生产许可证；</w:t>
      </w:r>
    </w:p>
    <w:p>
      <w:pPr>
        <w:pStyle w:val="null3"/>
      </w:pPr>
      <w:r>
        <w:rPr>
          <w:rFonts w:ascii="仿宋_GB2312" w:hAnsi="仿宋_GB2312" w:cs="仿宋_GB2312" w:eastAsia="仿宋_GB2312"/>
        </w:rPr>
        <w:t>8、项目经理：拟派项目经理具备建筑工程专业二级或以上注册建造师资格，具有有效的安全生产考核合格证书(建安B证)，在本单位注册且无在建工程；</w:t>
      </w:r>
    </w:p>
    <w:p>
      <w:pPr>
        <w:pStyle w:val="null3"/>
      </w:pPr>
      <w:r>
        <w:rPr>
          <w:rFonts w:ascii="仿宋_GB2312" w:hAnsi="仿宋_GB2312" w:cs="仿宋_GB2312" w:eastAsia="仿宋_GB2312"/>
        </w:rPr>
        <w:t>9、基本信息要求：供应商资质基本信息及项目经理基本信息应在“陕西省住房和城乡建设厅网（http://js.shaanxi.gov.cn/）（查询路径：政务服务-企业库/人员库-可查询）或全国建筑市场监管公共服务平台可查询，以现场查询为准；</w:t>
      </w:r>
    </w:p>
    <w:p>
      <w:pPr>
        <w:pStyle w:val="null3"/>
      </w:pPr>
      <w:r>
        <w:rPr>
          <w:rFonts w:ascii="仿宋_GB2312" w:hAnsi="仿宋_GB2312" w:cs="仿宋_GB2312" w:eastAsia="仿宋_GB2312"/>
        </w:rPr>
        <w:t>10、授权书及被授权人身份证：法定代表人（单位负责人）授权委托书（附法定代表人（单位负责人）、被授权人身份证复印件及被授权人响应文件递交截止时间前近三个月内任意一个月在本单位社保缴纳的证明资料）（法定代表人（单位负责人）直接参加的，须提供法定代表人（单位负责人）身份证明书及身份证复印件且与营业执照上信息须一致），非法人单位参照执行；</w:t>
      </w:r>
    </w:p>
    <w:p>
      <w:pPr>
        <w:pStyle w:val="null3"/>
      </w:pPr>
      <w:r>
        <w:rPr>
          <w:rFonts w:ascii="仿宋_GB2312" w:hAnsi="仿宋_GB2312" w:cs="仿宋_GB2312" w:eastAsia="仿宋_GB2312"/>
        </w:rPr>
        <w:t>11、信用查询：供应商未被列入“信用中国”网站记录的“失信被执行人”或 “重大税收违法失信主体”名单；不处于“中国政府采购网”记录的“政府采购严重违法失信行为信息记录名单”中的禁止参加政府采购活动期间，以现场查询为准；</w:t>
      </w:r>
    </w:p>
    <w:p>
      <w:pPr>
        <w:pStyle w:val="null3"/>
      </w:pPr>
      <w:r>
        <w:rPr>
          <w:rFonts w:ascii="仿宋_GB2312" w:hAnsi="仿宋_GB2312" w:cs="仿宋_GB2312" w:eastAsia="仿宋_GB2312"/>
        </w:rPr>
        <w:t>12、其他要求：单位负责人为同一人或者存在直接控股、管理关系的不同供应商不得参加同一合同项下的政府采购活动；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13、联合体磋商：本项目不接受联合体磋商（提供书面声明）。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西安市长安区兴隆街道办事处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西安市高新区兴隆街道西太路与南横线交叉口西北角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张朋辉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13700286824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西安中金招标代理有限责任公司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西安市科技二路启迪清扬时代D座10楼21001</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费思南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15619025728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西安高新技术产业开发区财政金融局综合监督部</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采购包1：1,063,499.80元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计价格[2002]1980号《招标代理服务收费管理暂行办法》所规定的收费标准收取，不足8000元按8000元收取。2.请各供应商在报价中自行考虑，无论报价中是否明确，均视为已包含在响应报价中。成交供应商承担本次代理服务费，并在接到成交通知后一次性支付给采购代理机构。</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西安市长安区兴隆街道办事处</w:t>
      </w:r>
      <w:r>
        <w:rPr>
          <w:rFonts w:ascii="仿宋_GB2312" w:hAnsi="仿宋_GB2312" w:cs="仿宋_GB2312" w:eastAsia="仿宋_GB2312"/>
        </w:rPr>
        <w:t>和</w:t>
      </w:r>
      <w:r>
        <w:rPr>
          <w:rFonts w:ascii="仿宋_GB2312" w:hAnsi="仿宋_GB2312" w:cs="仿宋_GB2312" w:eastAsia="仿宋_GB2312"/>
        </w:rPr>
        <w:t>西安中金招标代理有限责任公司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西安市长安区兴隆街道办事处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西安中金招标代理有限责任公司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西安市长安区兴隆街道办事处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西安中金招标代理有限责任公司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合格（符合《安全生产管理条例》的标准；符合工程相关规范要求；符合西安市建筑工地创卫达标条件和高新区环卫部门要求）。清运完成状态应达到甲方要求的验收标准，验收不合格的不予结算工程款。</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西安中金招标代理有限责任公司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西安中金招标代理有限责任公司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西安中金招标代理有限责任公司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联系人：费思南</w:t>
      </w:r>
    </w:p>
    <w:p>
      <w:pPr>
        <w:pStyle w:val="null3"/>
      </w:pPr>
      <w:r>
        <w:rPr>
          <w:rFonts w:ascii="仿宋_GB2312" w:hAnsi="仿宋_GB2312" w:cs="仿宋_GB2312" w:eastAsia="仿宋_GB2312"/>
        </w:rPr>
        <w:t>联系电话：15619025728</w:t>
      </w:r>
    </w:p>
    <w:p>
      <w:pPr>
        <w:pStyle w:val="null3"/>
      </w:pPr>
      <w:r>
        <w:rPr>
          <w:rFonts w:ascii="仿宋_GB2312" w:hAnsi="仿宋_GB2312" w:cs="仿宋_GB2312" w:eastAsia="仿宋_GB2312"/>
        </w:rPr>
        <w:t>地址：西安市科技二路启迪清扬时代D座10楼21001室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1,063,499.80</w:t>
      </w:r>
    </w:p>
    <w:p>
      <w:pPr>
        <w:pStyle w:val="null3"/>
      </w:pPr>
      <w:r>
        <w:rPr>
          <w:rFonts w:ascii="仿宋_GB2312" w:hAnsi="仿宋_GB2312" w:cs="仿宋_GB2312" w:eastAsia="仿宋_GB2312"/>
        </w:rPr>
        <w:t>采购包最高限价（元）: 1,063,499.80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工地平整和清理</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1,063,499.80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标的名称：工地平整和清理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一、采购内容</w:t>
            </w:r>
          </w:p>
          <w:p>
            <w:pPr>
              <w:pStyle w:val="null3"/>
            </w:pPr>
            <w:r>
              <w:rPr>
                <w:rFonts w:ascii="仿宋_GB2312" w:hAnsi="仿宋_GB2312" w:cs="仿宋_GB2312" w:eastAsia="仿宋_GB2312"/>
              </w:rPr>
              <w:t>1.工程范围及内容</w:t>
            </w:r>
            <w:r>
              <w:rPr>
                <w:rFonts w:ascii="仿宋_GB2312" w:hAnsi="仿宋_GB2312" w:cs="仿宋_GB2312" w:eastAsia="仿宋_GB2312"/>
              </w:rPr>
              <w:t>：</w:t>
            </w:r>
            <w:r>
              <w:rPr>
                <w:rFonts w:ascii="仿宋_GB2312" w:hAnsi="仿宋_GB2312" w:cs="仿宋_GB2312" w:eastAsia="仿宋_GB2312"/>
              </w:rPr>
              <w:t>对高新区兴隆街道</w:t>
            </w:r>
            <w:r>
              <w:rPr>
                <w:rFonts w:ascii="仿宋_GB2312" w:hAnsi="仿宋_GB2312" w:cs="仿宋_GB2312" w:eastAsia="仿宋_GB2312"/>
              </w:rPr>
              <w:t>GX3-17-41地块(西户路及行道树)项目范围用地上硬化地面破除、路面两侧及护坡破除及开挖、围墙拆除、路边行道树挖除、区域内清表</w:t>
            </w:r>
            <w:r>
              <w:rPr>
                <w:rFonts w:ascii="仿宋_GB2312" w:hAnsi="仿宋_GB2312" w:cs="仿宋_GB2312" w:eastAsia="仿宋_GB2312"/>
              </w:rPr>
              <w:t>；</w:t>
            </w:r>
            <w:r>
              <w:rPr>
                <w:rFonts w:ascii="仿宋_GB2312" w:hAnsi="仿宋_GB2312" w:cs="仿宋_GB2312" w:eastAsia="仿宋_GB2312"/>
              </w:rPr>
              <w:t>对破除垃圾、堆积垃圾、苗木等地面附着物进行清理，按照建设要求清理挖至所需高程，将场平后垃圾清运至城管执法部门指定的垃圾消纳场，使项目用地达到自然平整后场地采用绿网覆盖。</w:t>
            </w:r>
          </w:p>
          <w:p>
            <w:pPr>
              <w:pStyle w:val="null3"/>
            </w:pPr>
            <w:r>
              <w:rPr>
                <w:rFonts w:ascii="仿宋_GB2312" w:hAnsi="仿宋_GB2312" w:cs="仿宋_GB2312" w:eastAsia="仿宋_GB2312"/>
              </w:rPr>
              <w:t>2.</w:t>
            </w:r>
            <w:r>
              <w:rPr>
                <w:rFonts w:ascii="仿宋_GB2312" w:hAnsi="仿宋_GB2312" w:cs="仿宋_GB2312" w:eastAsia="仿宋_GB2312"/>
              </w:rPr>
              <w:t>清运完成状态应达到甲方要求的验收标准，验收不合格的不予结算工程款。本工程施工期内伤人及伤物等问题由乙方负责并承担相关责任及费用且报价时应充分考虑回收费用</w:t>
            </w:r>
            <w:r>
              <w:rPr>
                <w:rFonts w:ascii="仿宋_GB2312" w:hAnsi="仿宋_GB2312" w:cs="仿宋_GB2312" w:eastAsia="仿宋_GB2312"/>
              </w:rPr>
              <w:t>。</w:t>
            </w:r>
          </w:p>
          <w:p>
            <w:pPr>
              <w:pStyle w:val="null3"/>
            </w:pPr>
            <w:r>
              <w:rPr>
                <w:rFonts w:ascii="仿宋_GB2312" w:hAnsi="仿宋_GB2312" w:cs="仿宋_GB2312" w:eastAsia="仿宋_GB2312"/>
              </w:rPr>
              <w:t>3</w:t>
            </w:r>
            <w:r>
              <w:rPr>
                <w:rFonts w:ascii="仿宋_GB2312" w:hAnsi="仿宋_GB2312" w:cs="仿宋_GB2312" w:eastAsia="仿宋_GB2312"/>
              </w:rPr>
              <w:t>.工程地点：西安高新区兴隆街道成业大道以北、创智路以西、纬三十路以南、空天动力和华秦新能源以东</w:t>
            </w:r>
            <w:r>
              <w:rPr>
                <w:rFonts w:ascii="仿宋_GB2312" w:hAnsi="仿宋_GB2312" w:cs="仿宋_GB2312" w:eastAsia="仿宋_GB2312"/>
              </w:rPr>
              <w:t>。</w:t>
            </w:r>
          </w:p>
          <w:p>
            <w:pPr>
              <w:pStyle w:val="null3"/>
            </w:pPr>
            <w:r>
              <w:rPr>
                <w:rFonts w:ascii="仿宋_GB2312" w:hAnsi="仿宋_GB2312" w:cs="仿宋_GB2312" w:eastAsia="仿宋_GB2312"/>
              </w:rPr>
              <w:t>4.拆除规模：硬化地面破除5569.63㎡、路面两侧及护坡破除464.81㎡、行道树挖除929.60㎡、拆除围墙290.18m、垃圾清运方量7217.78m³，</w:t>
            </w:r>
            <w:r>
              <w:rPr>
                <w:rFonts w:ascii="仿宋_GB2312" w:hAnsi="仿宋_GB2312" w:cs="仿宋_GB2312" w:eastAsia="仿宋_GB2312"/>
              </w:rPr>
              <w:t>垃圾清运距离暂按</w:t>
            </w:r>
            <w:r>
              <w:rPr>
                <w:rFonts w:ascii="仿宋_GB2312" w:hAnsi="仿宋_GB2312" w:cs="仿宋_GB2312" w:eastAsia="仿宋_GB2312"/>
              </w:rPr>
              <w:t>80KM计算。</w:t>
            </w:r>
          </w:p>
          <w:p>
            <w:pPr>
              <w:pStyle w:val="null3"/>
            </w:pPr>
            <w:r>
              <w:rPr>
                <w:rFonts w:ascii="仿宋_GB2312" w:hAnsi="仿宋_GB2312" w:cs="仿宋_GB2312" w:eastAsia="仿宋_GB2312"/>
              </w:rPr>
              <w:t>5.</w:t>
            </w:r>
            <w:r>
              <w:rPr>
                <w:rFonts w:ascii="仿宋_GB2312" w:hAnsi="仿宋_GB2312" w:cs="仿宋_GB2312" w:eastAsia="仿宋_GB2312"/>
              </w:rPr>
              <w:t>工期：</w:t>
            </w:r>
            <w:r>
              <w:rPr>
                <w:rFonts w:ascii="仿宋_GB2312" w:hAnsi="仿宋_GB2312" w:cs="仿宋_GB2312" w:eastAsia="仿宋_GB2312"/>
              </w:rPr>
              <w:t>10</w:t>
            </w:r>
            <w:r>
              <w:rPr>
                <w:rFonts w:ascii="仿宋_GB2312" w:hAnsi="仿宋_GB2312" w:cs="仿宋_GB2312" w:eastAsia="仿宋_GB2312"/>
              </w:rPr>
              <w:t>日历天。</w:t>
            </w:r>
          </w:p>
          <w:p>
            <w:pPr>
              <w:pStyle w:val="null3"/>
            </w:pPr>
            <w:r>
              <w:rPr>
                <w:rFonts w:ascii="仿宋_GB2312" w:hAnsi="仿宋_GB2312" w:cs="仿宋_GB2312" w:eastAsia="仿宋_GB2312"/>
              </w:rPr>
              <w:t>遇阴雨天及不可抗力因素以及非成交供应商施工因素影响、工期相应顺延（顺延工期应由采购人、成交供应商共同签字确认）。</w:t>
            </w:r>
          </w:p>
          <w:p>
            <w:pPr>
              <w:pStyle w:val="null3"/>
            </w:pPr>
            <w:r>
              <w:rPr>
                <w:rFonts w:ascii="仿宋_GB2312" w:hAnsi="仿宋_GB2312" w:cs="仿宋_GB2312" w:eastAsia="仿宋_GB2312"/>
              </w:rPr>
              <w:t>6.</w:t>
            </w:r>
            <w:r>
              <w:rPr>
                <w:rFonts w:ascii="仿宋_GB2312" w:hAnsi="仿宋_GB2312" w:cs="仿宋_GB2312" w:eastAsia="仿宋_GB2312"/>
              </w:rPr>
              <w:t>质量标准：合格（符合《安全生产管理条例》的标准；符合工程相关规范要求；符合西安市建筑工地创卫达标条件和高新区环卫部门要求）。</w:t>
            </w:r>
          </w:p>
          <w:p>
            <w:pPr>
              <w:pStyle w:val="null3"/>
            </w:pPr>
            <w:r>
              <w:rPr>
                <w:rFonts w:ascii="仿宋_GB2312" w:hAnsi="仿宋_GB2312" w:cs="仿宋_GB2312" w:eastAsia="仿宋_GB2312"/>
              </w:rPr>
              <w:t>7.</w:t>
            </w:r>
            <w:r>
              <w:rPr>
                <w:rFonts w:ascii="仿宋_GB2312" w:hAnsi="仿宋_GB2312" w:cs="仿宋_GB2312" w:eastAsia="仿宋_GB2312"/>
              </w:rPr>
              <w:t>安全要求：施工单位应制定可靠的施工方案和安全事故应急救援方案，采取有效安全防护措施，确保无安全事故发生。</w:t>
            </w:r>
          </w:p>
          <w:p>
            <w:pPr>
              <w:pStyle w:val="null3"/>
            </w:pPr>
            <w:r>
              <w:rPr>
                <w:rFonts w:ascii="仿宋_GB2312" w:hAnsi="仿宋_GB2312" w:cs="仿宋_GB2312" w:eastAsia="仿宋_GB2312"/>
              </w:rPr>
              <w:t>8.</w:t>
            </w:r>
            <w:r>
              <w:rPr>
                <w:rFonts w:ascii="仿宋_GB2312" w:hAnsi="仿宋_GB2312" w:cs="仿宋_GB2312" w:eastAsia="仿宋_GB2312"/>
              </w:rPr>
              <w:t>本项目垃圾应按政府部门要求运送到指定的正规垃圾消纳场。</w:t>
            </w:r>
          </w:p>
          <w:p>
            <w:pPr>
              <w:pStyle w:val="null3"/>
            </w:pPr>
            <w:r>
              <w:rPr>
                <w:rFonts w:ascii="仿宋_GB2312" w:hAnsi="仿宋_GB2312" w:cs="仿宋_GB2312" w:eastAsia="仿宋_GB2312"/>
              </w:rPr>
              <w:t>9.</w:t>
            </w:r>
            <w:r>
              <w:rPr>
                <w:rFonts w:ascii="仿宋_GB2312" w:hAnsi="仿宋_GB2312" w:cs="仿宋_GB2312" w:eastAsia="仿宋_GB2312"/>
              </w:rPr>
              <w:t>执行国家、省、市现行的有关规定、标准等文件。具体技术要求包括但不限于以下规定、标准、规范：</w:t>
            </w:r>
          </w:p>
          <w:p>
            <w:pPr>
              <w:pStyle w:val="null3"/>
            </w:pPr>
            <w:r>
              <w:rPr>
                <w:rFonts w:ascii="仿宋_GB2312" w:hAnsi="仿宋_GB2312" w:cs="仿宋_GB2312" w:eastAsia="仿宋_GB2312"/>
              </w:rPr>
              <w:t>《中华人民共和国安全生产法》；</w:t>
            </w:r>
          </w:p>
          <w:p>
            <w:pPr>
              <w:pStyle w:val="null3"/>
            </w:pPr>
            <w:r>
              <w:rPr>
                <w:rFonts w:ascii="仿宋_GB2312" w:hAnsi="仿宋_GB2312" w:cs="仿宋_GB2312" w:eastAsia="仿宋_GB2312"/>
              </w:rPr>
              <w:t>《建设工程安全生产管理条例》（国务院令第</w:t>
            </w:r>
            <w:r>
              <w:rPr>
                <w:rFonts w:ascii="仿宋_GB2312" w:hAnsi="仿宋_GB2312" w:cs="仿宋_GB2312" w:eastAsia="仿宋_GB2312"/>
              </w:rPr>
              <w:t>393 号）；</w:t>
            </w:r>
          </w:p>
          <w:p>
            <w:pPr>
              <w:pStyle w:val="null3"/>
            </w:pPr>
            <w:r>
              <w:rPr>
                <w:rFonts w:ascii="仿宋_GB2312" w:hAnsi="仿宋_GB2312" w:cs="仿宋_GB2312" w:eastAsia="仿宋_GB2312"/>
              </w:rPr>
              <w:t>《建筑拆除工程安全技术规范》</w:t>
            </w:r>
            <w:r>
              <w:rPr>
                <w:rFonts w:ascii="仿宋_GB2312" w:hAnsi="仿宋_GB2312" w:cs="仿宋_GB2312" w:eastAsia="仿宋_GB2312"/>
              </w:rPr>
              <w:t>JGJ147?2016；</w:t>
            </w:r>
          </w:p>
          <w:p>
            <w:pPr>
              <w:pStyle w:val="null3"/>
            </w:pPr>
            <w:r>
              <w:rPr>
                <w:rFonts w:ascii="仿宋_GB2312" w:hAnsi="仿宋_GB2312" w:cs="仿宋_GB2312" w:eastAsia="仿宋_GB2312"/>
              </w:rPr>
              <w:t>《建筑机械使用安全技术规程》</w:t>
            </w:r>
            <w:r>
              <w:rPr>
                <w:rFonts w:ascii="仿宋_GB2312" w:hAnsi="仿宋_GB2312" w:cs="仿宋_GB2312" w:eastAsia="仿宋_GB2312"/>
              </w:rPr>
              <w:t>(JGJ33-2012)；</w:t>
            </w:r>
          </w:p>
          <w:p>
            <w:pPr>
              <w:pStyle w:val="null3"/>
            </w:pPr>
            <w:r>
              <w:rPr>
                <w:rFonts w:ascii="仿宋_GB2312" w:hAnsi="仿宋_GB2312" w:cs="仿宋_GB2312" w:eastAsia="仿宋_GB2312"/>
              </w:rPr>
              <w:t>《建筑工程施工质量验收统一标准》（</w:t>
            </w:r>
            <w:r>
              <w:rPr>
                <w:rFonts w:ascii="仿宋_GB2312" w:hAnsi="仿宋_GB2312" w:cs="仿宋_GB2312" w:eastAsia="仿宋_GB2312"/>
              </w:rPr>
              <w:t>GB50300-2013）；</w:t>
            </w:r>
          </w:p>
          <w:p>
            <w:pPr>
              <w:pStyle w:val="null3"/>
            </w:pPr>
            <w:r>
              <w:rPr>
                <w:rFonts w:ascii="仿宋_GB2312" w:hAnsi="仿宋_GB2312" w:cs="仿宋_GB2312" w:eastAsia="仿宋_GB2312"/>
              </w:rPr>
              <w:t>《土方与爆破工程施工及验收规范》（</w:t>
            </w:r>
            <w:r>
              <w:rPr>
                <w:rFonts w:ascii="仿宋_GB2312" w:hAnsi="仿宋_GB2312" w:cs="仿宋_GB2312" w:eastAsia="仿宋_GB2312"/>
              </w:rPr>
              <w:t>GB50201-2012）；</w:t>
            </w:r>
          </w:p>
          <w:p>
            <w:pPr>
              <w:pStyle w:val="null3"/>
            </w:pPr>
            <w:r>
              <w:rPr>
                <w:rFonts w:ascii="仿宋_GB2312" w:hAnsi="仿宋_GB2312" w:cs="仿宋_GB2312" w:eastAsia="仿宋_GB2312"/>
              </w:rPr>
              <w:t>《危险性较大的分部分项工程安全管理规定》（住建部令第</w:t>
            </w:r>
            <w:r>
              <w:rPr>
                <w:rFonts w:ascii="仿宋_GB2312" w:hAnsi="仿宋_GB2312" w:cs="仿宋_GB2312" w:eastAsia="仿宋_GB2312"/>
              </w:rPr>
              <w:t>37 号）、建办质〔2018〕31 号；</w:t>
            </w:r>
          </w:p>
          <w:p>
            <w:pPr>
              <w:pStyle w:val="null3"/>
            </w:pPr>
            <w:r>
              <w:rPr>
                <w:rFonts w:ascii="仿宋_GB2312" w:hAnsi="仿宋_GB2312" w:cs="仿宋_GB2312" w:eastAsia="仿宋_GB2312"/>
              </w:rPr>
              <w:t>《建筑与市政工程施工现场临时用电安全技术标准</w:t>
            </w:r>
            <w:r>
              <w:rPr>
                <w:rFonts w:ascii="仿宋_GB2312" w:hAnsi="仿宋_GB2312" w:cs="仿宋_GB2312" w:eastAsia="仿宋_GB2312"/>
              </w:rPr>
              <w:t>》</w:t>
            </w:r>
            <w:r>
              <w:rPr>
                <w:rFonts w:ascii="仿宋_GB2312" w:hAnsi="仿宋_GB2312" w:cs="仿宋_GB2312" w:eastAsia="仿宋_GB2312"/>
              </w:rPr>
              <w:t>JGJ/T46?2024；</w:t>
            </w:r>
          </w:p>
          <w:p>
            <w:pPr>
              <w:pStyle w:val="null3"/>
            </w:pPr>
            <w:r>
              <w:rPr>
                <w:rFonts w:ascii="仿宋_GB2312" w:hAnsi="仿宋_GB2312" w:cs="仿宋_GB2312" w:eastAsia="仿宋_GB2312"/>
              </w:rPr>
              <w:t>《西安市建筑垃圾管理条例》。</w:t>
            </w:r>
          </w:p>
          <w:p>
            <w:pPr>
              <w:pStyle w:val="null3"/>
            </w:pPr>
            <w:r>
              <w:rPr>
                <w:rFonts w:ascii="仿宋_GB2312" w:hAnsi="仿宋_GB2312" w:cs="仿宋_GB2312" w:eastAsia="仿宋_GB2312"/>
              </w:rPr>
              <w:t>以上规范标准如有更新时以更新后的为准。</w:t>
            </w:r>
          </w:p>
          <w:p>
            <w:pPr>
              <w:pStyle w:val="null3"/>
            </w:pPr>
            <w:r>
              <w:rPr>
                <w:rFonts w:ascii="仿宋_GB2312" w:hAnsi="仿宋_GB2312" w:cs="仿宋_GB2312" w:eastAsia="仿宋_GB2312"/>
              </w:rPr>
              <w:t>二、采购工程量清单</w:t>
            </w:r>
          </w:p>
          <w:tbl>
            <w:tblPr>
              <w:tblInd w:type="dxa" w:w="135"/>
              <w:tblBorders>
                <w:top w:val="none" w:color="000000" w:sz="4"/>
                <w:left w:val="none" w:color="000000" w:sz="4"/>
                <w:bottom w:val="none" w:color="000000" w:sz="4"/>
                <w:right w:val="none" w:color="000000" w:sz="4"/>
                <w:insideH w:val="none"/>
                <w:insideV w:val="none"/>
              </w:tblBorders>
            </w:tblPr>
            <w:tblGrid>
              <w:gridCol w:w="182"/>
              <w:gridCol w:w="742"/>
              <w:gridCol w:w="303"/>
              <w:gridCol w:w="486"/>
              <w:gridCol w:w="830"/>
            </w:tblGrid>
            <w:tr>
              <w:tc>
                <w:tcPr>
                  <w:tcW w:type="dxa" w:w="1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7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项目名称</w:t>
                  </w:r>
                </w:p>
              </w:tc>
              <w:tc>
                <w:tcPr>
                  <w:tcW w:type="dxa" w:w="3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单位</w:t>
                  </w:r>
                </w:p>
              </w:tc>
              <w:tc>
                <w:tcPr>
                  <w:tcW w:type="dxa" w:w="4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工程量</w:t>
                  </w:r>
                </w:p>
              </w:tc>
              <w:tc>
                <w:tcPr>
                  <w:tcW w:type="dxa" w:w="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备注</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硬化地面破除</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5569.63</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下挖深度</w:t>
                  </w:r>
                  <w:r>
                    <w:rPr>
                      <w:rFonts w:ascii="仿宋_GB2312" w:hAnsi="仿宋_GB2312" w:cs="仿宋_GB2312" w:eastAsia="仿宋_GB2312"/>
                      <w:sz w:val="19"/>
                    </w:rPr>
                    <w:t>≥1.1m至黄土裸露</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路面两侧及护坡</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464.81</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下挖深度</w:t>
                  </w:r>
                  <w:r>
                    <w:rPr>
                      <w:rFonts w:ascii="仿宋_GB2312" w:hAnsi="仿宋_GB2312" w:cs="仿宋_GB2312" w:eastAsia="仿宋_GB2312"/>
                      <w:sz w:val="19"/>
                    </w:rPr>
                    <w:t>≥1.1m至黄土裸露</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行道树挖除</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929.60</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挖除苗木及垃圾，下挖深度</w:t>
                  </w:r>
                  <w:r>
                    <w:rPr>
                      <w:rFonts w:ascii="仿宋_GB2312" w:hAnsi="仿宋_GB2312" w:cs="仿宋_GB2312" w:eastAsia="仿宋_GB2312"/>
                      <w:sz w:val="19"/>
                    </w:rPr>
                    <w:t>≥0.4m至黄土裸露</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拆除围墙</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290.18</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砖墙、预制围墙</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垃圾清运</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m³</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7217.78</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已包含破除地面垃圾</w:t>
                  </w:r>
                </w:p>
              </w:tc>
            </w:tr>
          </w:tbl>
          <w:p>
            <w:pPr>
              <w:pStyle w:val="null3"/>
            </w:pPr>
            <w:r>
              <w:rPr>
                <w:rFonts w:ascii="仿宋_GB2312" w:hAnsi="仿宋_GB2312" w:cs="仿宋_GB2312" w:eastAsia="仿宋_GB2312"/>
              </w:rPr>
              <w:t>三、施工要求</w:t>
            </w:r>
          </w:p>
          <w:p>
            <w:pPr>
              <w:pStyle w:val="null3"/>
            </w:pPr>
            <w:r>
              <w:rPr>
                <w:rFonts w:ascii="仿宋_GB2312" w:hAnsi="仿宋_GB2312" w:cs="仿宋_GB2312" w:eastAsia="仿宋_GB2312"/>
              </w:rPr>
              <w:t>1.</w:t>
            </w:r>
            <w:r>
              <w:rPr>
                <w:rFonts w:ascii="仿宋_GB2312" w:hAnsi="仿宋_GB2312" w:cs="仿宋_GB2312" w:eastAsia="仿宋_GB2312"/>
              </w:rPr>
              <w:t>施工前必须按有关规定及要求做好防尘降噪措施；完工后场地达到自然平整。</w:t>
            </w:r>
          </w:p>
          <w:p>
            <w:pPr>
              <w:pStyle w:val="null3"/>
            </w:pPr>
            <w:r>
              <w:rPr>
                <w:rFonts w:ascii="仿宋_GB2312" w:hAnsi="仿宋_GB2312" w:cs="仿宋_GB2312" w:eastAsia="仿宋_GB2312"/>
              </w:rPr>
              <w:t>2.</w:t>
            </w:r>
            <w:r>
              <w:rPr>
                <w:rFonts w:ascii="仿宋_GB2312" w:hAnsi="仿宋_GB2312" w:cs="仿宋_GB2312" w:eastAsia="仿宋_GB2312"/>
              </w:rPr>
              <w:t>施工准备：开工前，施工单位向采购人提交施工方案及施工进度实施规划。</w:t>
            </w:r>
          </w:p>
          <w:p>
            <w:pPr>
              <w:pStyle w:val="null3"/>
            </w:pPr>
            <w:r>
              <w:rPr>
                <w:rFonts w:ascii="仿宋_GB2312" w:hAnsi="仿宋_GB2312" w:cs="仿宋_GB2312" w:eastAsia="仿宋_GB2312"/>
              </w:rPr>
              <w:t>3.</w:t>
            </w:r>
            <w:r>
              <w:rPr>
                <w:rFonts w:ascii="仿宋_GB2312" w:hAnsi="仿宋_GB2312" w:cs="仿宋_GB2312" w:eastAsia="仿宋_GB2312"/>
              </w:rPr>
              <w:t>采用机械或人工作业。控制清运与破碎拆除程度范围，不得损坏正常地表或</w:t>
            </w:r>
            <w:r>
              <w:rPr>
                <w:rFonts w:ascii="仿宋_GB2312" w:hAnsi="仿宋_GB2312" w:cs="仿宋_GB2312" w:eastAsia="仿宋_GB2312"/>
              </w:rPr>
              <w:t>设</w:t>
            </w:r>
            <w:r>
              <w:rPr>
                <w:rFonts w:ascii="仿宋_GB2312" w:hAnsi="仿宋_GB2312" w:cs="仿宋_GB2312" w:eastAsia="仿宋_GB2312"/>
              </w:rPr>
              <w:t>施；</w:t>
            </w:r>
          </w:p>
          <w:p>
            <w:pPr>
              <w:pStyle w:val="null3"/>
            </w:pPr>
            <w:r>
              <w:rPr>
                <w:rFonts w:ascii="仿宋_GB2312" w:hAnsi="仿宋_GB2312" w:cs="仿宋_GB2312" w:eastAsia="仿宋_GB2312"/>
              </w:rPr>
              <w:t>4.</w:t>
            </w:r>
            <w:r>
              <w:rPr>
                <w:rFonts w:ascii="仿宋_GB2312" w:hAnsi="仿宋_GB2312" w:cs="仿宋_GB2312" w:eastAsia="仿宋_GB2312"/>
              </w:rPr>
              <w:t>清运作业完成后的地表不得有树根、垃圾、渣土，破碎残余等遗留物；</w:t>
            </w:r>
          </w:p>
          <w:p>
            <w:pPr>
              <w:pStyle w:val="null3"/>
            </w:pPr>
            <w:r>
              <w:rPr>
                <w:rFonts w:ascii="仿宋_GB2312" w:hAnsi="仿宋_GB2312" w:cs="仿宋_GB2312" w:eastAsia="仿宋_GB2312"/>
              </w:rPr>
              <w:t>5.</w:t>
            </w:r>
            <w:r>
              <w:rPr>
                <w:rFonts w:ascii="仿宋_GB2312" w:hAnsi="仿宋_GB2312" w:cs="仿宋_GB2312" w:eastAsia="仿宋_GB2312"/>
              </w:rPr>
              <w:t>清运渣土堆积时，应采用绿网进行遮盖；</w:t>
            </w:r>
          </w:p>
          <w:p>
            <w:pPr>
              <w:pStyle w:val="null3"/>
            </w:pPr>
            <w:r>
              <w:rPr>
                <w:rFonts w:ascii="仿宋_GB2312" w:hAnsi="仿宋_GB2312" w:cs="仿宋_GB2312" w:eastAsia="仿宋_GB2312"/>
              </w:rPr>
              <w:t>6.</w:t>
            </w:r>
            <w:r>
              <w:rPr>
                <w:rFonts w:ascii="仿宋_GB2312" w:hAnsi="仿宋_GB2312" w:cs="仿宋_GB2312" w:eastAsia="仿宋_GB2312"/>
              </w:rPr>
              <w:t>装卸、清运要求同建筑垃圾清运。</w:t>
            </w:r>
          </w:p>
          <w:p>
            <w:pPr>
              <w:pStyle w:val="null3"/>
            </w:pPr>
            <w:r>
              <w:rPr>
                <w:rFonts w:ascii="仿宋_GB2312" w:hAnsi="仿宋_GB2312" w:cs="仿宋_GB2312" w:eastAsia="仿宋_GB2312"/>
              </w:rPr>
              <w:t>四、报价说明</w:t>
            </w:r>
          </w:p>
          <w:p>
            <w:pPr>
              <w:pStyle w:val="null3"/>
            </w:pPr>
            <w:r>
              <w:rPr>
                <w:rFonts w:ascii="仿宋_GB2312" w:hAnsi="仿宋_GB2312" w:cs="仿宋_GB2312" w:eastAsia="仿宋_GB2312"/>
              </w:rPr>
              <w:t>1.供应商应根据自行了解和掌握的工程情况和市场行情，结合自身情况自主报价。合同价格方式为固定综合单价合同，并按暂估工程量填报总价，履约期间合同单价不因任何因素调整，最终以双方确认的工程量及签证等据实结算。</w:t>
            </w:r>
          </w:p>
          <w:p>
            <w:pPr>
              <w:pStyle w:val="null3"/>
            </w:pPr>
            <w:r>
              <w:rPr>
                <w:rFonts w:ascii="仿宋_GB2312" w:hAnsi="仿宋_GB2312" w:cs="仿宋_GB2312" w:eastAsia="仿宋_GB2312"/>
              </w:rPr>
              <w:t>2.供应商的报价应为本工程从合同生效起到合同履约完成所发生的一切费用，综合单价包括但不限于拆除费、破除费、土方开挖费、清表费、垃圾及渣土装卸运输倾倒和垃圾消解费、现场和清运沿途各种协调费、安全生产措施费、扬尘治理费、文明施工费、市场价格浮动（含人工、机械、燃油等）及各项管理费、利润、风险、税金等，现场办公、食宿均由</w:t>
            </w:r>
            <w:r>
              <w:rPr>
                <w:rFonts w:ascii="仿宋_GB2312" w:hAnsi="仿宋_GB2312" w:cs="仿宋_GB2312" w:eastAsia="仿宋_GB2312"/>
              </w:rPr>
              <w:t>成交供应商</w:t>
            </w:r>
            <w:r>
              <w:rPr>
                <w:rFonts w:ascii="仿宋_GB2312" w:hAnsi="仿宋_GB2312" w:cs="仿宋_GB2312" w:eastAsia="仿宋_GB2312"/>
              </w:rPr>
              <w:t>自行解决，其费用应考虑到报价中，供应商全面考虑采购文件明示、暗示的所有风险、责任和义务等的全部费用。采购人不再另行支付任何费用。</w:t>
            </w:r>
          </w:p>
          <w:p>
            <w:pPr>
              <w:pStyle w:val="null3"/>
            </w:pPr>
            <w:r>
              <w:rPr>
                <w:rFonts w:ascii="仿宋_GB2312" w:hAnsi="仿宋_GB2312" w:cs="仿宋_GB2312" w:eastAsia="仿宋_GB2312"/>
              </w:rPr>
              <w:t>3.供应商应当进入工程地点进行现场踏勘，以充分了解工程位置、清表和清运部位的地理位置和布局、施工环境和条件、施工和运输道路、场地情况等，报价时充分考虑现场情况对响应报价价格的影响等各项风险因素，这些因素对报价的影响均视为含在报价中。任何因供应商单位自身原因忽视或误解工程情况而导致的工程索赔、工期延长、报价错误等将不获批准。</w:t>
            </w:r>
          </w:p>
          <w:p>
            <w:pPr>
              <w:pStyle w:val="null3"/>
            </w:pPr>
            <w:r>
              <w:rPr>
                <w:rFonts w:ascii="仿宋_GB2312" w:hAnsi="仿宋_GB2312" w:cs="仿宋_GB2312" w:eastAsia="仿宋_GB2312"/>
              </w:rPr>
              <w:t>4.报价时应充分考虑可回收物的回收费用。</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工程质量符合国家现行有关施工质量验收规范要求“合格”标准。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满足磋商文件要求。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磋商总报价为完成本项目磋商文件中所提出的工作范围及要求的全部内容，并达到国家及采购人验收标准而产生的所有费用，响应报价包括但不限于拆除费、破除费、土方开挖费、清表费、垃圾及渣土装卸运输倾倒和垃圾消解费、现场和清运沿途各种协调费、安全生产措施费、扬尘治理费、文明施工费、市场价格浮动（含人工、机械、燃油等）及各项管理费、利润、风险、税金等完成本项目所产生的一切费用。任何错报、漏报由供应商自行负责。 2、本项目专门面向中小企业采购（残疾人福利性单位、监狱企业视同小型、微型企业）。 3、采购标的对应的中小企业划分标准所属行业为建筑业。建筑业的划型标准为：营业收入80000万元以下或资产总额 80000万元以下的为中小微型企业。其中，营业收入6000万元及以上，且资产总额5000万元及以上的为中型企业；营业收 入300万元及以上，且资产总额300万元及以上的为小型企业；营业收入300万元以下或资产总额300万元以下的为微型企业。 4、需要落实的政府采购政策：1)《政府采购促进中小企业发展管理办法》（财库〔2020〕46号）、《财政部关于进一步加大政府采购支持中小企业力度》的通知（财库〔2022〕19号）、《陕西省财政厅关于进一步加大政府采购支持中小企业力度的通知》（陕财办采〔2022〕5号）；2)《财政部司法部关于政府采购支持监狱企业发展有关问题的通知》（财库〔2014〕68号）；3)《财政部民政部中国残疾人联合会关于促进残疾人就业政府采购政策的通知》（财库〔2017〕141号）；4)《财政部 发展改革委 生态环境部 市场监管总局关于调整优化节能产品、环境标志产品政府采购执行机制的通知》（财库〔2019〕9号）；5)《关于印发环境标志产品政府采购品目清单的通知》（财库〔2019〕18号）；6)《关于印发节能产品政府采购品目清单的通知》（财库〔2019〕19号）；7)《财政部、农业农村部、国家乡村振兴局关于运用政府采购政策支持乡村产业振兴的通知》（财库〔2021〕19号）；8)《陕西省财政厅关于印发陕西省中小企业政府采购信用融资办法》（陕财办采〔2018〕23号）；9)《陕西省财政厅关于加快推进我省中小企业政府采购信用融资工作的通知》（陕财办采〔2020〕15号）；10）《关于政府采购支持绿色建材促进建筑品质提升试点工作的通知》（财库〔2020〕31 号）；11）《财政部办公厅关于组织地方预算单位做好2023年政府采购脱贫地区农副产品工作的通知》（财办库〔2023〕45 号）；12）《财政部住房城乡建设部工业和信息化部关于扩大政府采购绿色建材促进建筑品质提升政策实施范围的通知》（财库〔2022〕35号）；13）《国务院办公厅关于在政府采购中实施本国产品标准及相关政策的通知》（国办发〔2025〕34号）；14）《关于推动解决政府采购异常低价问题的通知》(财库〔2026〕2号)；15）其他需要落实的政府采购政策。 5、本项目工期：10日历天。 6、根据西安市财政局《关于促进政府采购公平竞争优化营商环境的通知》（市财函[2021]431号）文中“第16条规定 供应商登记免费领取采购文件的，如不参与项目投标，应在递交投标（或响应）文件截止时间前一日以书面形式告知采购代理机构。否则，采购代理机构可以向财政部门反映情况并提供相应的佐证。供应商一年内累计出现三次该情形，将被监管部门记录失信行为”。 7、参与本项目采购的供应商应通过陕西省政府采购综合管理平台的项目电子化交易系统在线实施响应、磋商、报价等操作，磋商响应时无需供应商现场提供纸质响应文件，但成交人在领取成交通知书前，须向采购代理机构提供纸质版响应文件2套（包括响应文件的全部内容）且提供的响应文件必须与在陕西省政府采购综合管理平台的项目电子化交易系统中递交的电子响应文件内容一致，纸质版响应文件必须装订成册签字盖章（无需密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供应商需在项目电子化交易系统中按要求填写《投标函》完成承诺并进行电子签章。注：本项目资格审查由1名采购人代表负责，同时担任资格审查小组组长。</w:t>
            </w:r>
          </w:p>
        </w:tc>
        <w:tc>
          <w:tcPr>
            <w:tcW w:type="dxa" w:w="1661"/>
          </w:tcPr>
          <w:p>
            <w:pPr>
              <w:pStyle w:val="null3"/>
            </w:pPr>
            <w:r>
              <w:rPr>
                <w:rFonts w:ascii="仿宋_GB2312" w:hAnsi="仿宋_GB2312" w:cs="仿宋_GB2312" w:eastAsia="仿宋_GB2312"/>
              </w:rPr>
              <w:t>响应文件封面 060-特定资格证明文件.docx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递交响应文件截止时间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或提供其递交响应文件截止时间前六个月内基本开户银行出具的资信证明；</w:t>
            </w:r>
          </w:p>
        </w:tc>
        <w:tc>
          <w:tcPr>
            <w:tcW w:type="dxa" w:w="1661"/>
          </w:tcPr>
          <w:p>
            <w:pPr>
              <w:pStyle w:val="null3"/>
            </w:pPr>
            <w:r>
              <w:rPr>
                <w:rFonts w:ascii="仿宋_GB2312" w:hAnsi="仿宋_GB2312" w:cs="仿宋_GB2312" w:eastAsia="仿宋_GB2312"/>
              </w:rPr>
              <w:t>响应文件封面 060-特定资格证明文件.docx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060-特定资格证明文件.docx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供应商应为具有独立承担民事责任能力的法人、其他组织或自然人：法人或者其他组织提供营业执照等证明文件，自然人提供身份证件；</w:t>
            </w:r>
          </w:p>
        </w:tc>
        <w:tc>
          <w:tcPr>
            <w:tcW w:type="dxa" w:w="1661"/>
          </w:tcPr>
          <w:p>
            <w:pPr>
              <w:pStyle w:val="null3"/>
            </w:pPr>
            <w:r>
              <w:rPr>
                <w:rFonts w:ascii="仿宋_GB2312" w:hAnsi="仿宋_GB2312" w:cs="仿宋_GB2312" w:eastAsia="仿宋_GB2312"/>
              </w:rPr>
              <w:t>060-特定资格证明文件.docx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w:t>
            </w:r>
          </w:p>
        </w:tc>
        <w:tc>
          <w:tcPr>
            <w:tcW w:type="dxa" w:w="3322"/>
          </w:tcPr>
          <w:p>
            <w:pPr>
              <w:pStyle w:val="null3"/>
            </w:pPr>
            <w:r>
              <w:rPr>
                <w:rFonts w:ascii="仿宋_GB2312" w:hAnsi="仿宋_GB2312" w:cs="仿宋_GB2312" w:eastAsia="仿宋_GB2312"/>
              </w:rPr>
              <w:t>税收缴纳凭证：提供递交响应文件截止时间前一年内任意一个月的纳税证明或完税证明，依法免税的单位应提供相关证明材料；</w:t>
            </w:r>
          </w:p>
        </w:tc>
        <w:tc>
          <w:tcPr>
            <w:tcW w:type="dxa" w:w="1661"/>
          </w:tcPr>
          <w:p>
            <w:pPr>
              <w:pStyle w:val="null3"/>
            </w:pPr>
            <w:r>
              <w:rPr>
                <w:rFonts w:ascii="仿宋_GB2312" w:hAnsi="仿宋_GB2312" w:cs="仿宋_GB2312" w:eastAsia="仿宋_GB2312"/>
              </w:rPr>
              <w:t>060-特定资格证明文件.docx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社会保险缴纳的凭证</w:t>
            </w:r>
          </w:p>
        </w:tc>
        <w:tc>
          <w:tcPr>
            <w:tcW w:type="dxa" w:w="3322"/>
          </w:tcPr>
          <w:p>
            <w:pPr>
              <w:pStyle w:val="null3"/>
            </w:pPr>
            <w:r>
              <w:rPr>
                <w:rFonts w:ascii="仿宋_GB2312" w:hAnsi="仿宋_GB2312" w:cs="仿宋_GB2312" w:eastAsia="仿宋_GB2312"/>
              </w:rPr>
              <w:t>社会保险缴纳的凭证：提供递交响应文件截止时间前一年内任意一个月的社会保障资金缴存单据或社保机构开具的社会保险参保缴费情况证明，依法不需要缴纳社会保障资金的单位应提供相关证明材料；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060-特定资格证明文件.docx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060-特定资格证明文件.docx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需提供递交响应文件截止时间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或提供其递交响应文件截止时间前六个月内基本开户银行出具的资信证明；</w:t>
            </w:r>
          </w:p>
        </w:tc>
        <w:tc>
          <w:tcPr>
            <w:tcW w:type="dxa" w:w="1661"/>
          </w:tcPr>
          <w:p>
            <w:pPr>
              <w:pStyle w:val="null3"/>
            </w:pPr>
            <w:r>
              <w:rPr>
                <w:rFonts w:ascii="仿宋_GB2312" w:hAnsi="仿宋_GB2312" w:cs="仿宋_GB2312" w:eastAsia="仿宋_GB2312"/>
              </w:rPr>
              <w:t>060-特定资格证明文件.docx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履行合同所必需的设备和专业技术能力书面声明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060-特定资格证明文件.docx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供应商须具备建设行政主管部门颁发的建筑工程施工总承包三级及以上资质，且具备有效的安全生产许可证；</w:t>
            </w:r>
          </w:p>
        </w:tc>
        <w:tc>
          <w:tcPr>
            <w:tcW w:type="dxa" w:w="1661"/>
          </w:tcPr>
          <w:p>
            <w:pPr>
              <w:pStyle w:val="null3"/>
            </w:pPr>
            <w:r>
              <w:rPr>
                <w:rFonts w:ascii="仿宋_GB2312" w:hAnsi="仿宋_GB2312" w:cs="仿宋_GB2312" w:eastAsia="仿宋_GB2312"/>
              </w:rPr>
              <w:t>060-特定资格证明文件.docx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拟派项目经理具备建筑工程专业二级或以上注册建造师资格，具有有效的安全生产考核合格证书(建安B证)，在本单位注册且无在建工程；</w:t>
            </w:r>
          </w:p>
        </w:tc>
        <w:tc>
          <w:tcPr>
            <w:tcW w:type="dxa" w:w="1661"/>
          </w:tcPr>
          <w:p>
            <w:pPr>
              <w:pStyle w:val="null3"/>
            </w:pPr>
            <w:r>
              <w:rPr>
                <w:rFonts w:ascii="仿宋_GB2312" w:hAnsi="仿宋_GB2312" w:cs="仿宋_GB2312" w:eastAsia="仿宋_GB2312"/>
              </w:rPr>
              <w:t>060-特定资格证明文件.docx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基本信息要求</w:t>
            </w:r>
          </w:p>
        </w:tc>
        <w:tc>
          <w:tcPr>
            <w:tcW w:type="dxa" w:w="3322"/>
          </w:tcPr>
          <w:p>
            <w:pPr>
              <w:pStyle w:val="null3"/>
            </w:pPr>
            <w:r>
              <w:rPr>
                <w:rFonts w:ascii="仿宋_GB2312" w:hAnsi="仿宋_GB2312" w:cs="仿宋_GB2312" w:eastAsia="仿宋_GB2312"/>
              </w:rPr>
              <w:t>供应商资质基本信息及项目经理基本信息应在“陕西省住房和城乡建设厅网（http://js.shaanxi.gov.cn/）（查询路径：政务服务-企业库/人员库-可查询）或全国建筑市场监管公共服务平台可查询，以现场查询为准；</w:t>
            </w:r>
          </w:p>
        </w:tc>
        <w:tc>
          <w:tcPr>
            <w:tcW w:type="dxa" w:w="1661"/>
          </w:tcPr>
          <w:p>
            <w:pPr>
              <w:pStyle w:val="null3"/>
            </w:pPr>
            <w:r>
              <w:rPr>
                <w:rFonts w:ascii="仿宋_GB2312" w:hAnsi="仿宋_GB2312" w:cs="仿宋_GB2312" w:eastAsia="仿宋_GB2312"/>
              </w:rPr>
              <w:t>060-特定资格证明文件.docx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授权书及被授权人身份证</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响应文件递交截止时间前近三个月内任意一个月在本单位社保缴纳的证明资料）（法定代表人（单位负责人）直接参加的，须提供法定代表人（单位负责人）身份证明书及身份证复印件且与营业执照上信息须一致），非法人单位参照执行；</w:t>
            </w:r>
          </w:p>
        </w:tc>
        <w:tc>
          <w:tcPr>
            <w:tcW w:type="dxa" w:w="1661"/>
          </w:tcPr>
          <w:p>
            <w:pPr>
              <w:pStyle w:val="null3"/>
            </w:pPr>
            <w:r>
              <w:rPr>
                <w:rFonts w:ascii="仿宋_GB2312" w:hAnsi="仿宋_GB2312" w:cs="仿宋_GB2312" w:eastAsia="仿宋_GB2312"/>
              </w:rPr>
              <w:t>060-特定资格证明文件.docx 响应函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供应商未被列入“信用中国”网站记录的“失信被执行人”或 “重大税收违法失信主体”名单；不处于“中国政府采购网”记录的“政府采购严重违法失信行为信息记录名单”中的禁止参加政府采购活动期间，以现场查询为准；</w:t>
            </w:r>
          </w:p>
        </w:tc>
        <w:tc>
          <w:tcPr>
            <w:tcW w:type="dxa" w:w="1661"/>
          </w:tcPr>
          <w:p>
            <w:pPr>
              <w:pStyle w:val="null3"/>
            </w:pPr>
            <w:r>
              <w:rPr>
                <w:rFonts w:ascii="仿宋_GB2312" w:hAnsi="仿宋_GB2312" w:cs="仿宋_GB2312" w:eastAsia="仿宋_GB2312"/>
              </w:rPr>
              <w:t>060-特定资格证明文件.docx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060-特定资格证明文件.docx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本项目不接受联合体磋商（提供书面声明）。</w:t>
            </w:r>
          </w:p>
        </w:tc>
        <w:tc>
          <w:tcPr>
            <w:tcW w:type="dxa" w:w="1661"/>
          </w:tcPr>
          <w:p>
            <w:pPr>
              <w:pStyle w:val="null3"/>
            </w:pPr>
            <w:r>
              <w:rPr>
                <w:rFonts w:ascii="仿宋_GB2312" w:hAnsi="仿宋_GB2312" w:cs="仿宋_GB2312" w:eastAsia="仿宋_GB2312"/>
              </w:rPr>
              <w:t>060-特定资格证明文件.docx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内容无重大缺漏项，报价唯一，且没有超过采购预算或限价</w:t>
            </w:r>
          </w:p>
        </w:tc>
        <w:tc>
          <w:tcPr>
            <w:tcW w:type="dxa" w:w="1661"/>
          </w:tcPr>
          <w:p>
            <w:pPr>
              <w:pStyle w:val="null3"/>
            </w:pPr>
            <w:r>
              <w:rPr>
                <w:rFonts w:ascii="仿宋_GB2312" w:hAnsi="仿宋_GB2312" w:cs="仿宋_GB2312" w:eastAsia="仿宋_GB2312"/>
              </w:rPr>
              <w:t>响应文件封面 060-商务及技术文件.docx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响应文件封面 060-商务及技术文件.docx 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060-商务及技术文件.docx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060-商务及技术文件.docx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完全理解并响应竞争性磋商文件合同条款的要求，且未含有采购人不能接受的附加条件</w:t>
            </w:r>
          </w:p>
        </w:tc>
        <w:tc>
          <w:tcPr>
            <w:tcW w:type="dxa" w:w="1661"/>
          </w:tcPr>
          <w:p>
            <w:pPr>
              <w:pStyle w:val="null3"/>
            </w:pPr>
            <w:r>
              <w:rPr>
                <w:rFonts w:ascii="仿宋_GB2312" w:hAnsi="仿宋_GB2312" w:cs="仿宋_GB2312" w:eastAsia="仿宋_GB2312"/>
              </w:rPr>
              <w:t>响应文件封面 060-商务及技术文件.docx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一、评审内容:根据供应商针对本项目编写的施工方案(包含但不限于施工计划、施工目标管理、总体实施方案等)进行计分：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评审内容缺项每项扣3分，每有一项评审内容存在缺陷，根据缺陷内容，每出现一处缺陷扣0.5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060-商务及技术文件.docx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一、评审内容：根据供应商针对本项目编写的工程质量技术组织措施(包含但不限于质量保证措施、质量管理体系、施工目标、降低成本措施等)进行计分：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评审内容缺项每项扣2分，每有一项评审内容存在缺陷，根据缺陷内容，每出现一处缺陷扣0.5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060-商务及技术文件.docx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一、评审内容：根据供应商针对本项目编写的安全生产技术组织措施(包含但不限于安全技术保证措施、安全管理制度、应急预案等)进行计分：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评审内容缺项每项扣3分，每有一项评审内容存在缺陷，根据缺陷内容，每出现一处缺陷扣0.5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060-商务及技术文件.docx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一、评审内容：根据供应商针对本项目编写的确保工期的技术组织措施(包含但不限于施工进度安排、工期保证措施、特殊天气下的技术组织措施等)进行计分：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上述3项评审内容全部满足评审标准得9分，评审内容缺项每项扣3分，每有一项评审内容存在缺陷，根据缺陷内容，每出现一处缺陷扣0.5分，扣完为止。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060-商务及技术文件.docx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一、评审内容：根据供应商针对本项目编写的确保文明施工的技术组织措施及环境保护措施(包含但不限于文明施工措施、环境保护措施等）进行计分：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6分，评审内容缺项每项扣3分，每有一项评审内容存在缺陷，根据缺陷内容，每出现一处缺陷扣0.5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060-商务及技术文件.docx</w:t>
            </w:r>
          </w:p>
        </w:tc>
      </w:tr>
      <w:tr>
        <w:tc>
          <w:tcPr>
            <w:tcW w:type="dxa" w:w="831"/>
            <w:vMerge/>
          </w:tcPr>
          <w:p/>
        </w:tc>
        <w:tc>
          <w:tcPr>
            <w:tcW w:type="dxa" w:w="1661"/>
          </w:tcPr>
          <w:p>
            <w:pPr>
              <w:pStyle w:val="null3"/>
            </w:pPr>
            <w:r>
              <w:rPr>
                <w:rFonts w:ascii="仿宋_GB2312" w:hAnsi="仿宋_GB2312" w:cs="仿宋_GB2312" w:eastAsia="仿宋_GB2312"/>
              </w:rPr>
              <w:t>项目经理部组成及劳动力投入</w:t>
            </w:r>
          </w:p>
        </w:tc>
        <w:tc>
          <w:tcPr>
            <w:tcW w:type="dxa" w:w="2492"/>
          </w:tcPr>
          <w:p>
            <w:pPr>
              <w:pStyle w:val="null3"/>
            </w:pPr>
            <w:r>
              <w:rPr>
                <w:rFonts w:ascii="仿宋_GB2312" w:hAnsi="仿宋_GB2312" w:cs="仿宋_GB2312" w:eastAsia="仿宋_GB2312"/>
              </w:rPr>
              <w:t>一、评审内容 ①人员配备清单、劳动力投入及相关资料；②岗位职责与分工。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上述2项评审内容全部满足评审标准得6分，评审内容缺项每项扣3分，每有一项评审内容存在缺陷，根据缺陷内容，每出现一处缺陷扣0.5分，扣完为止。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060-商务及技术文件.docx</w:t>
            </w:r>
          </w:p>
        </w:tc>
      </w:tr>
      <w:tr>
        <w:tc>
          <w:tcPr>
            <w:tcW w:type="dxa" w:w="831"/>
            <w:vMerge/>
          </w:tcPr>
          <w:p/>
        </w:tc>
        <w:tc>
          <w:tcPr>
            <w:tcW w:type="dxa" w:w="1661"/>
          </w:tcPr>
          <w:p>
            <w:pPr>
              <w:pStyle w:val="null3"/>
            </w:pPr>
            <w:r>
              <w:rPr>
                <w:rFonts w:ascii="仿宋_GB2312" w:hAnsi="仿宋_GB2312" w:cs="仿宋_GB2312" w:eastAsia="仿宋_GB2312"/>
              </w:rPr>
              <w:t>施工机械及设备投入计划</w:t>
            </w:r>
          </w:p>
        </w:tc>
        <w:tc>
          <w:tcPr>
            <w:tcW w:type="dxa" w:w="2492"/>
          </w:tcPr>
          <w:p>
            <w:pPr>
              <w:pStyle w:val="null3"/>
            </w:pPr>
            <w:r>
              <w:rPr>
                <w:rFonts w:ascii="仿宋_GB2312" w:hAnsi="仿宋_GB2312" w:cs="仿宋_GB2312" w:eastAsia="仿宋_GB2312"/>
              </w:rPr>
              <w:t>一、评审内容：根据供应商针对本项目编写的施工机械及设备投入计划(包含但不限于施工机械方案、到离场计划、安全管理等）进行计分：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评审内容缺项每项扣3分，每有一项评审内容存在缺陷，根据缺陷内容，每出现一处缺陷扣0.5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060-商务及技术文件.docx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1、评审内容：针对本工程在安全生产、治污减霾、项目所在地周边关系的协调处理、项目的移交等方面提供响应承诺。 2、评审标准：每提供一项承诺得1分，满分4分；未提供不得分。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060-商务及技术文件.docx</w:t>
            </w:r>
          </w:p>
        </w:tc>
      </w:tr>
      <w:tr>
        <w:tc>
          <w:tcPr>
            <w:tcW w:type="dxa" w:w="831"/>
            <w:vMerge/>
          </w:tcPr>
          <w:p/>
        </w:tc>
        <w:tc>
          <w:tcPr>
            <w:tcW w:type="dxa" w:w="1661"/>
          </w:tcPr>
          <w:p>
            <w:pPr>
              <w:pStyle w:val="null3"/>
            </w:pPr>
            <w:r>
              <w:rPr>
                <w:rFonts w:ascii="仿宋_GB2312" w:hAnsi="仿宋_GB2312" w:cs="仿宋_GB2312" w:eastAsia="仿宋_GB2312"/>
              </w:rPr>
              <w:t>项目经理类似业绩</w:t>
            </w:r>
          </w:p>
        </w:tc>
        <w:tc>
          <w:tcPr>
            <w:tcW w:type="dxa" w:w="2492"/>
          </w:tcPr>
          <w:p>
            <w:pPr>
              <w:pStyle w:val="null3"/>
            </w:pPr>
            <w:r>
              <w:rPr>
                <w:rFonts w:ascii="仿宋_GB2312" w:hAnsi="仿宋_GB2312" w:cs="仿宋_GB2312" w:eastAsia="仿宋_GB2312"/>
              </w:rPr>
              <w:t>提供2023年1月1日（以合同签订日期为准）至今类似业绩，每提供一个有效业绩计2分，最高4分。 评审依据：合同复印件加盖公章，证明材料需体现项目经理姓名，未提供不得分。 企业类似业绩和项目经理类似业绩可重复计分。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060-商务及技术文件.docx</w:t>
            </w:r>
          </w:p>
        </w:tc>
      </w:tr>
      <w:tr>
        <w:tc>
          <w:tcPr>
            <w:tcW w:type="dxa" w:w="831"/>
            <w:vMerge/>
          </w:tcP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提供2023年1月1日（以合同签订日期为准）至今类似项目业绩，每提供一个业绩计3分，最高6分。 评审依据：合同复印件加盖公章。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060-商务及技术文件.docx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060-商务及技术文件.docx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评审基准价：满足磋商文件要求且磋商报价最低的报价为磋商基准价。得分：报价得分=(评审基准价／最后报价)×30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060-商务及技术文件.docx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详见附件：060-特定资格证明文件.docx</w:t>
      </w:r>
    </w:p>
    <w:p>
      <w:pPr>
        <w:pStyle w:val="null3"/>
        <w:ind w:firstLine="960"/>
      </w:pPr>
      <w:r>
        <w:rPr>
          <w:rFonts w:ascii="仿宋_GB2312" w:hAnsi="仿宋_GB2312" w:cs="仿宋_GB2312" w:eastAsia="仿宋_GB2312"/>
        </w:rPr>
        <w:t>详见附件：060-商务及技术文件.docx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详见附件：060-合同.docx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