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版本号：KY2026-1-74120260821001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纳米喷雾干燥仪采购项目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KY2026-1-741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纳米喷雾干燥仪采购项目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纳米喷雾干燥仪采购项目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采购包1（纳米喷雾干燥仪）：属于专门面向中小企业采购。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联系人：温虎、刘金柯</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具体内容详见谈判文件技术要求。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纳米喷雾干燥仪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标的名称：纳米喷雾干燥仪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color w:val="000000"/>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313"/>
              <w:gridCol w:w="1537"/>
              <w:gridCol w:w="339"/>
              <w:gridCol w:w="365"/>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序号</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产品名称</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单位</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纳米喷雾干燥仪</w:t>
                  </w:r>
                </w:p>
                <w:p>
                  <w:pPr>
                    <w:pStyle w:val="null3"/>
                    <w:jc w:val="center"/>
                  </w:pPr>
                  <w:r>
                    <w:rPr>
                      <w:rFonts w:ascii="仿宋_GB2312" w:hAnsi="仿宋_GB2312" w:cs="仿宋_GB2312" w:eastAsia="仿宋_GB2312"/>
                      <w:sz w:val="24"/>
                      <w:color w:val="000000"/>
                    </w:rPr>
                    <w:t>【核心产品】</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r>
          </w:tbl>
          <w:p>
            <w:pPr>
              <w:pStyle w:val="null3"/>
              <w:jc w:val="left"/>
            </w:pPr>
            <w:r>
              <w:rPr>
                <w:rFonts w:ascii="仿宋_GB2312" w:hAnsi="仿宋_GB2312" w:cs="仿宋_GB2312" w:eastAsia="仿宋_GB2312"/>
                <w:sz w:val="24"/>
                <w:b/>
                <w:color w:val="000000"/>
              </w:rPr>
              <w:t>二、技术标准、配置要求</w:t>
            </w:r>
          </w:p>
          <w:tbl>
            <w:tblPr>
              <w:tblBorders>
                <w:top w:val="none" w:color="000000" w:sz="4"/>
                <w:left w:val="none" w:color="000000" w:sz="4"/>
                <w:bottom w:val="none" w:color="000000" w:sz="4"/>
                <w:right w:val="none" w:color="000000" w:sz="4"/>
                <w:insideH w:val="none"/>
                <w:insideV w:val="none"/>
              </w:tblBorders>
            </w:tblPr>
            <w:tblGrid>
              <w:gridCol w:w="131"/>
              <w:gridCol w:w="241"/>
              <w:gridCol w:w="1412"/>
              <w:gridCol w:w="416"/>
              <w:gridCol w:w="179"/>
              <w:gridCol w:w="171"/>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产品名称</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技术标准</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配置要求</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备注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纳米喷雾干燥仪</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样品处理能力：≥1.8 L /h（水）, 有机溶剂更高；</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样品颗粒范围：≥200nm-60μm；</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最高温度：≥220℃；</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最小处理样品量：&lt;10ml；</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液滴平均干燥时间：≤1.2秒；</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最大气流量：≥35 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/h；</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气流压缩范围≥1800 L/h；</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进料速度范围：0.1–30 mL/min；</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参数显示：显示进口温度、出口温度、喷雾气流速、抽气机气流速，进样流速，出口过滤器压力，产品温度；</w:t>
                  </w:r>
                  <w:r>
                    <w:rPr>
                      <w:rFonts w:ascii="仿宋_GB2312" w:hAnsi="仿宋_GB2312" w:cs="仿宋_GB2312" w:eastAsia="仿宋_GB2312"/>
                      <w:sz w:val="24"/>
                      <w:b/>
                      <w:color w:val="000000"/>
                    </w:rPr>
                    <w:t>（提供佐证材料）</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数据传输：USB接口和连接局域网；</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喷嘴孔径： 0.7±0.3mm; 1.5±0.3mm；2.0±0.3mm；喷嘴帽带红宝石；</w:t>
                  </w:r>
                  <w:r>
                    <w:rPr>
                      <w:rFonts w:ascii="仿宋_GB2312" w:hAnsi="仿宋_GB2312" w:cs="仿宋_GB2312" w:eastAsia="仿宋_GB2312"/>
                      <w:sz w:val="24"/>
                      <w:b/>
                      <w:color w:val="000000"/>
                    </w:rPr>
                    <w:t>（提供佐证材料）</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配备干燥筒；</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旋风分离器带有纳米除静电内壁涂层，避免干粉粘到内壁，提高样品回收率；</w:t>
                  </w:r>
                  <w:r>
                    <w:rPr>
                      <w:rFonts w:ascii="仿宋_GB2312" w:hAnsi="仿宋_GB2312" w:cs="仿宋_GB2312" w:eastAsia="仿宋_GB2312"/>
                      <w:sz w:val="24"/>
                      <w:b/>
                      <w:color w:val="000000"/>
                    </w:rPr>
                    <w:t>（提供佐证材料）</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配备高质量耐热高硼硅玻璃器皿；</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内置喷嘴自动清洁通针；</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实验过程中有机溶剂被冷却回收；</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制冷功率：≥800W@ -10℃；出口温度范围：不低于-30℃~常温，可设置冷凝温度；</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配备冷冻干燥装置；冷凝器温度≤-80℃，冷凝器捕冰能力≥5kg，冷凝效率≥4kg/24h；</w:t>
                  </w:r>
                </w:p>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配备真空旋转蒸发装置，旋转速度≥315 rpm，支持正反旋转干燥模式。水浴锅≥2L载水量，可放入50-1000 mL蒸发瓶，有防烧干功能，室温~95℃；</w:t>
                  </w:r>
                </w:p>
                <w:p>
                  <w:pPr>
                    <w:pStyle w:val="null3"/>
                    <w:jc w:val="left"/>
                  </w:pPr>
                  <w:r>
                    <w:rPr>
                      <w:rFonts w:ascii="仿宋_GB2312" w:hAnsi="仿宋_GB2312" w:cs="仿宋_GB2312" w:eastAsia="仿宋_GB2312"/>
                      <w:sz w:val="24"/>
                      <w:color w:val="000000"/>
                    </w:rPr>
                    <w:t>19. V</w:t>
                  </w:r>
                  <w:r>
                    <w:rPr>
                      <w:rFonts w:ascii="仿宋_GB2312" w:hAnsi="仿宋_GB2312" w:cs="仿宋_GB2312" w:eastAsia="仿宋_GB2312"/>
                      <w:sz w:val="24"/>
                      <w:color w:val="000000"/>
                    </w:rPr>
                    <w:t>型P+G冷凝器，支持正反旋转干燥模式。</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可以生成冻干曲线方便后续重现实验。</w:t>
                  </w:r>
                  <w:r>
                    <w:rPr>
                      <w:rFonts w:ascii="仿宋_GB2312" w:hAnsi="仿宋_GB2312" w:cs="仿宋_GB2312" w:eastAsia="仿宋_GB2312"/>
                      <w:sz w:val="24"/>
                      <w:b/>
                      <w:color w:val="000000"/>
                    </w:rPr>
                    <w:t>（提供佐证材料）</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喷雾干燥机1台；</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造粒配件1套；</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有机容积回收装置1套；</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冷阱回收装置1套；</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冷冻干燥装置1套；</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真空泵1台；</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旋转蒸发仪1套；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color w:val="000000"/>
              </w:rPr>
              <w:t>备注：</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60 日历日内完成交付、安装及调试、验收等工作。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西安建筑科技大学北院冶金南楼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1、项目质保期：自验收合格之日起计算，质保期1 年。 2、售后服务响应时间（质保期内）：（1）在质保期内，产品一旦发生质量问题，成交供应商需要在4小时内对故障做出响应，8小时内明确故障原因，如有必要厂家维修工程师在48小时内到用户现场进行维修，3天内修好。（2）质保期外，成交供应商在接到采购人故障通知后优先安排维修人员到达现场进行维修服务。质保期外只收取零备件成本费用。免费7*24小时在线技术支持，随时提供各种技术支持和在线排障支持。终身服务：24小时内响应，零配件和耗材随意随量订购。 3、培训服务要求：成交供应商须安排厂家工程师对所供产品进行安装、调试和操作培训，并免费对采购人操作人员进行常规设备操作、故障排除、设备维护保养培训，直至完全能独立操作。制造商提供国内培训中心免费专业培训名额2人，直至完全能独立操作。</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报价表 供应商承诺书.docx 技术指标偏差表.docx 商务条款响应说明.docx 响应文件封面 分项报价表.docx 保证金交纳凭证.docx 标的清单 关于符合本国产品标准的声明函 响应报价表.docx 谈判响应方案说明.docx 响应函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