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D3581E">
      <w:pPr>
        <w:pStyle w:val="11"/>
        <w:jc w:val="center"/>
        <w:outlineLvl w:val="1"/>
        <w:rPr>
          <w:rFonts w:ascii="宋体" w:hAnsi="宋体" w:eastAsia="宋体" w:cs="宋体"/>
        </w:rPr>
      </w:pPr>
      <w:bookmarkStart w:id="0" w:name="_Toc31265"/>
      <w:r>
        <w:rPr>
          <w:rFonts w:ascii="宋体" w:hAnsi="宋体" w:eastAsia="宋体" w:cs="宋体"/>
          <w:b/>
          <w:sz w:val="36"/>
        </w:rPr>
        <w:t>拟签订采购合同文本</w:t>
      </w:r>
      <w:bookmarkEnd w:id="0"/>
    </w:p>
    <w:p w14:paraId="55E85AEE">
      <w:pPr>
        <w:adjustRightInd w:val="0"/>
        <w:snapToGrid w:val="0"/>
        <w:rPr>
          <w:rFonts w:hint="eastAsia" w:ascii="宋体" w:hAnsi="宋体" w:eastAsia="宋体" w:cs="宋体"/>
          <w:sz w:val="36"/>
          <w:szCs w:val="36"/>
        </w:rPr>
      </w:pPr>
    </w:p>
    <w:p w14:paraId="516F3009">
      <w:pPr>
        <w:adjustRightInd w:val="0"/>
        <w:snapToGrid w:val="0"/>
        <w:jc w:val="center"/>
        <w:rPr>
          <w:rFonts w:hint="eastAsia" w:eastAsia="黑体"/>
          <w:sz w:val="36"/>
          <w:szCs w:val="36"/>
        </w:rPr>
      </w:pPr>
      <w:r>
        <w:rPr>
          <w:rFonts w:hint="eastAsia" w:eastAsia="黑体"/>
          <w:sz w:val="36"/>
          <w:szCs w:val="36"/>
        </w:rPr>
        <w:t>仪器设备购置合同</w:t>
      </w:r>
    </w:p>
    <w:p w14:paraId="1C9CA701">
      <w:pPr>
        <w:adjustRightInd w:val="0"/>
        <w:snapToGrid w:val="0"/>
        <w:jc w:val="center"/>
        <w:rPr>
          <w:rFonts w:hint="eastAsia" w:ascii="宋体" w:hAnsi="宋体" w:eastAsia="宋体" w:cs="宋体"/>
          <w:color w:val="000000"/>
          <w:sz w:val="36"/>
          <w:szCs w:val="36"/>
        </w:rPr>
      </w:pPr>
    </w:p>
    <w:p w14:paraId="7718021D">
      <w:pPr>
        <w:adjustRightInd w:val="0"/>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西安建筑科技大学（甲方）与</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（乙方）就甲方购置的</w:t>
      </w:r>
      <w:r>
        <w:rPr>
          <w:rFonts w:hint="eastAsia" w:ascii="宋体" w:hAnsi="宋体" w:eastAsia="宋体" w:cs="宋体"/>
          <w:bCs/>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设备经双方协商达成如下合同条款：</w:t>
      </w:r>
    </w:p>
    <w:p w14:paraId="6F15FB05">
      <w:pPr>
        <w:spacing w:line="360" w:lineRule="auto"/>
        <w:ind w:left="555"/>
        <w:outlineLvl w:val="0"/>
        <w:rPr>
          <w:rFonts w:hint="eastAsia" w:ascii="宋体" w:hAnsi="宋体" w:eastAsia="宋体" w:cs="宋体"/>
          <w:b/>
          <w:color w:val="000000" w:themeColor="text1"/>
          <w:sz w:val="24"/>
          <w14:textFill>
            <w14:solidFill>
              <w14:schemeClr w14:val="tx1"/>
            </w14:solidFill>
          </w14:textFill>
        </w:rPr>
      </w:pPr>
      <w:bookmarkStart w:id="1" w:name="_Toc15535"/>
      <w:r>
        <w:rPr>
          <w:rFonts w:hint="eastAsia" w:ascii="宋体" w:hAnsi="宋体" w:eastAsia="宋体" w:cs="宋体"/>
          <w:b/>
          <w:color w:val="000000" w:themeColor="text1"/>
          <w:sz w:val="24"/>
          <w14:textFill>
            <w14:solidFill>
              <w14:schemeClr w14:val="tx1"/>
            </w14:solidFill>
          </w14:textFill>
        </w:rPr>
        <w:t>1</w:t>
      </w:r>
      <w:r>
        <w:rPr>
          <w:rFonts w:hint="eastAsia" w:ascii="宋体" w:hAnsi="宋体" w:eastAsia="宋体" w:cs="宋体"/>
          <w:color w:val="000000" w:themeColor="text1"/>
          <w:sz w:val="24"/>
          <w14:textFill>
            <w14:solidFill>
              <w14:schemeClr w14:val="tx1"/>
            </w14:solidFill>
          </w14:textFill>
        </w:rPr>
        <w:t>.</w:t>
      </w:r>
      <w:r>
        <w:rPr>
          <w:rFonts w:hint="eastAsia" w:ascii="宋体" w:hAnsi="宋体" w:eastAsia="宋体" w:cs="宋体"/>
          <w:b/>
          <w:color w:val="000000" w:themeColor="text1"/>
          <w:sz w:val="24"/>
          <w14:textFill>
            <w14:solidFill>
              <w14:schemeClr w14:val="tx1"/>
            </w14:solidFill>
          </w14:textFill>
        </w:rPr>
        <w:t xml:space="preserve"> 合同内容</w:t>
      </w:r>
      <w:bookmarkEnd w:id="1"/>
    </w:p>
    <w:p w14:paraId="394BE760">
      <w:pPr>
        <w:spacing w:line="360" w:lineRule="auto"/>
        <w:ind w:firstLine="56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在甲方组织的关于</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采购招投标活动中，经评标确定乙方为供货单位。乙方按本合同中确定的设备名称、型号与规格、产地、数量及配套内容进行供货，详细配置见《仪器设备购置清单》；乙方按时将货物运送到甲方指定的地点，负责到货设备的安装与调试，达到正常使用；乙方负责为甲方培训操作、维护人员，质保期内负责指导仪器设备的操作使用和保养维修，做好售后服务工作。甲方在乙方完成合同明确规定的责任和义务后，按合同要求付给乙方相应的设备货款。</w:t>
      </w:r>
    </w:p>
    <w:p w14:paraId="2FF831C1">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1.1 仪器设备购置清单（币种：人民币）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88"/>
        <w:gridCol w:w="1805"/>
        <w:gridCol w:w="1980"/>
        <w:gridCol w:w="886"/>
        <w:gridCol w:w="985"/>
        <w:gridCol w:w="984"/>
        <w:gridCol w:w="978"/>
        <w:gridCol w:w="580"/>
      </w:tblGrid>
      <w:tr w14:paraId="1752B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92" w:hRule="atLeast"/>
          <w:jc w:val="center"/>
        </w:trPr>
        <w:tc>
          <w:tcPr>
            <w:tcW w:w="488" w:type="dxa"/>
            <w:tcMar>
              <w:top w:w="20" w:type="dxa"/>
              <w:left w:w="20" w:type="dxa"/>
              <w:bottom w:w="0" w:type="dxa"/>
              <w:right w:w="20" w:type="dxa"/>
            </w:tcMar>
            <w:vAlign w:val="center"/>
          </w:tcPr>
          <w:p w14:paraId="5F9997D2">
            <w:pPr>
              <w:spacing w:line="360" w:lineRule="auto"/>
              <w:jc w:val="center"/>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序号</w:t>
            </w:r>
          </w:p>
        </w:tc>
        <w:tc>
          <w:tcPr>
            <w:tcW w:w="1805" w:type="dxa"/>
            <w:tcMar>
              <w:top w:w="20" w:type="dxa"/>
              <w:left w:w="20" w:type="dxa"/>
              <w:bottom w:w="0" w:type="dxa"/>
              <w:right w:w="20" w:type="dxa"/>
            </w:tcMar>
            <w:vAlign w:val="center"/>
          </w:tcPr>
          <w:p w14:paraId="226243E9">
            <w:pPr>
              <w:spacing w:line="360" w:lineRule="auto"/>
              <w:jc w:val="center"/>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设备名称</w:t>
            </w:r>
          </w:p>
        </w:tc>
        <w:tc>
          <w:tcPr>
            <w:tcW w:w="1980" w:type="dxa"/>
            <w:tcMar>
              <w:top w:w="20" w:type="dxa"/>
              <w:left w:w="20" w:type="dxa"/>
              <w:bottom w:w="0" w:type="dxa"/>
              <w:right w:w="20" w:type="dxa"/>
            </w:tcMar>
            <w:vAlign w:val="center"/>
          </w:tcPr>
          <w:p w14:paraId="2ED3F559">
            <w:pPr>
              <w:spacing w:line="360" w:lineRule="auto"/>
              <w:jc w:val="center"/>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品牌、规格、型号</w:t>
            </w:r>
          </w:p>
        </w:tc>
        <w:tc>
          <w:tcPr>
            <w:tcW w:w="886" w:type="dxa"/>
            <w:tcMar>
              <w:top w:w="20" w:type="dxa"/>
              <w:left w:w="20" w:type="dxa"/>
              <w:bottom w:w="0" w:type="dxa"/>
              <w:right w:w="20" w:type="dxa"/>
            </w:tcMar>
            <w:vAlign w:val="center"/>
          </w:tcPr>
          <w:p w14:paraId="1478178C">
            <w:pPr>
              <w:spacing w:line="360" w:lineRule="auto"/>
              <w:jc w:val="center"/>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数量</w:t>
            </w:r>
          </w:p>
          <w:p w14:paraId="5E2C22E2">
            <w:pPr>
              <w:spacing w:line="360" w:lineRule="auto"/>
              <w:jc w:val="center"/>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（台、套）</w:t>
            </w:r>
          </w:p>
        </w:tc>
        <w:tc>
          <w:tcPr>
            <w:tcW w:w="985" w:type="dxa"/>
            <w:tcMar>
              <w:top w:w="20" w:type="dxa"/>
              <w:left w:w="20" w:type="dxa"/>
              <w:bottom w:w="0" w:type="dxa"/>
              <w:right w:w="20" w:type="dxa"/>
            </w:tcMar>
            <w:vAlign w:val="center"/>
          </w:tcPr>
          <w:p w14:paraId="5E432DD0">
            <w:pPr>
              <w:spacing w:line="360" w:lineRule="auto"/>
              <w:jc w:val="center"/>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单价</w:t>
            </w:r>
          </w:p>
          <w:p w14:paraId="52416C1D">
            <w:pPr>
              <w:spacing w:line="360" w:lineRule="auto"/>
              <w:jc w:val="center"/>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(万元)</w:t>
            </w:r>
          </w:p>
        </w:tc>
        <w:tc>
          <w:tcPr>
            <w:tcW w:w="984" w:type="dxa"/>
            <w:tcMar>
              <w:top w:w="20" w:type="dxa"/>
              <w:left w:w="20" w:type="dxa"/>
              <w:bottom w:w="0" w:type="dxa"/>
              <w:right w:w="20" w:type="dxa"/>
            </w:tcMar>
            <w:vAlign w:val="center"/>
          </w:tcPr>
          <w:p w14:paraId="32DD6F6D">
            <w:pPr>
              <w:spacing w:line="360" w:lineRule="auto"/>
              <w:jc w:val="center"/>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合计</w:t>
            </w:r>
          </w:p>
          <w:p w14:paraId="740868BC">
            <w:pPr>
              <w:spacing w:line="360" w:lineRule="auto"/>
              <w:jc w:val="center"/>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（万元）</w:t>
            </w:r>
          </w:p>
        </w:tc>
        <w:tc>
          <w:tcPr>
            <w:tcW w:w="978" w:type="dxa"/>
            <w:vAlign w:val="center"/>
          </w:tcPr>
          <w:p w14:paraId="01A6E0B9">
            <w:pPr>
              <w:spacing w:line="360" w:lineRule="auto"/>
              <w:jc w:val="center"/>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生产商</w:t>
            </w:r>
          </w:p>
        </w:tc>
        <w:tc>
          <w:tcPr>
            <w:tcW w:w="580" w:type="dxa"/>
            <w:tcMar>
              <w:top w:w="20" w:type="dxa"/>
              <w:left w:w="20" w:type="dxa"/>
              <w:bottom w:w="0" w:type="dxa"/>
              <w:right w:w="20" w:type="dxa"/>
            </w:tcMar>
            <w:vAlign w:val="center"/>
          </w:tcPr>
          <w:p w14:paraId="7A07C663">
            <w:pPr>
              <w:spacing w:line="360" w:lineRule="auto"/>
              <w:jc w:val="center"/>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备注</w:t>
            </w:r>
          </w:p>
        </w:tc>
      </w:tr>
      <w:tr w14:paraId="3D116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79" w:hRule="atLeast"/>
          <w:jc w:val="center"/>
        </w:trPr>
        <w:tc>
          <w:tcPr>
            <w:tcW w:w="488" w:type="dxa"/>
            <w:tcMar>
              <w:top w:w="20" w:type="dxa"/>
              <w:left w:w="20" w:type="dxa"/>
              <w:bottom w:w="0" w:type="dxa"/>
              <w:right w:w="20" w:type="dxa"/>
            </w:tcMar>
            <w:vAlign w:val="center"/>
          </w:tcPr>
          <w:p w14:paraId="5A87C200">
            <w:pPr>
              <w:spacing w:line="360" w:lineRule="auto"/>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w:t>
            </w:r>
          </w:p>
        </w:tc>
        <w:tc>
          <w:tcPr>
            <w:tcW w:w="1805" w:type="dxa"/>
            <w:tcMar>
              <w:top w:w="20" w:type="dxa"/>
              <w:left w:w="20" w:type="dxa"/>
              <w:bottom w:w="0" w:type="dxa"/>
              <w:right w:w="20" w:type="dxa"/>
            </w:tcMar>
            <w:vAlign w:val="center"/>
          </w:tcPr>
          <w:p w14:paraId="252A4E12">
            <w:pPr>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1980" w:type="dxa"/>
            <w:tcMar>
              <w:top w:w="20" w:type="dxa"/>
              <w:left w:w="20" w:type="dxa"/>
              <w:bottom w:w="0" w:type="dxa"/>
              <w:right w:w="20" w:type="dxa"/>
            </w:tcMar>
            <w:vAlign w:val="center"/>
          </w:tcPr>
          <w:p w14:paraId="6301DABC">
            <w:pPr>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886" w:type="dxa"/>
            <w:tcMar>
              <w:top w:w="20" w:type="dxa"/>
              <w:left w:w="20" w:type="dxa"/>
              <w:bottom w:w="0" w:type="dxa"/>
              <w:right w:w="20" w:type="dxa"/>
            </w:tcMar>
            <w:vAlign w:val="center"/>
          </w:tcPr>
          <w:p w14:paraId="5931421A">
            <w:pPr>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985" w:type="dxa"/>
            <w:tcMar>
              <w:top w:w="20" w:type="dxa"/>
              <w:left w:w="20" w:type="dxa"/>
              <w:bottom w:w="0" w:type="dxa"/>
              <w:right w:w="20" w:type="dxa"/>
            </w:tcMar>
            <w:vAlign w:val="center"/>
          </w:tcPr>
          <w:p w14:paraId="51C1B730">
            <w:pPr>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984" w:type="dxa"/>
            <w:tcMar>
              <w:top w:w="20" w:type="dxa"/>
              <w:left w:w="20" w:type="dxa"/>
              <w:bottom w:w="0" w:type="dxa"/>
              <w:right w:w="20" w:type="dxa"/>
            </w:tcMar>
            <w:vAlign w:val="center"/>
          </w:tcPr>
          <w:p w14:paraId="0F9D7AD1">
            <w:pPr>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978" w:type="dxa"/>
            <w:vAlign w:val="center"/>
          </w:tcPr>
          <w:p w14:paraId="277D5741">
            <w:pPr>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580" w:type="dxa"/>
            <w:tcMar>
              <w:top w:w="20" w:type="dxa"/>
              <w:left w:w="20" w:type="dxa"/>
              <w:bottom w:w="0" w:type="dxa"/>
              <w:right w:w="20" w:type="dxa"/>
            </w:tcMar>
            <w:vAlign w:val="center"/>
          </w:tcPr>
          <w:p w14:paraId="0E891C5A">
            <w:pPr>
              <w:spacing w:line="360" w:lineRule="auto"/>
              <w:jc w:val="center"/>
              <w:rPr>
                <w:rFonts w:hint="eastAsia" w:ascii="宋体" w:hAnsi="宋体" w:eastAsia="宋体" w:cs="宋体"/>
                <w:color w:val="000000" w:themeColor="text1"/>
                <w:sz w:val="24"/>
                <w14:textFill>
                  <w14:solidFill>
                    <w14:schemeClr w14:val="tx1"/>
                  </w14:solidFill>
                </w14:textFill>
              </w:rPr>
            </w:pPr>
          </w:p>
        </w:tc>
      </w:tr>
      <w:tr w14:paraId="49225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7" w:hRule="atLeast"/>
          <w:jc w:val="center"/>
        </w:trPr>
        <w:tc>
          <w:tcPr>
            <w:tcW w:w="488" w:type="dxa"/>
            <w:tcMar>
              <w:top w:w="20" w:type="dxa"/>
              <w:left w:w="20" w:type="dxa"/>
              <w:bottom w:w="0" w:type="dxa"/>
              <w:right w:w="20" w:type="dxa"/>
            </w:tcMar>
            <w:vAlign w:val="center"/>
          </w:tcPr>
          <w:p w14:paraId="5F34C834">
            <w:pPr>
              <w:spacing w:line="360" w:lineRule="auto"/>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w:t>
            </w:r>
          </w:p>
        </w:tc>
        <w:tc>
          <w:tcPr>
            <w:tcW w:w="1805" w:type="dxa"/>
            <w:tcMar>
              <w:top w:w="20" w:type="dxa"/>
              <w:left w:w="20" w:type="dxa"/>
              <w:bottom w:w="0" w:type="dxa"/>
              <w:right w:w="20" w:type="dxa"/>
            </w:tcMar>
            <w:vAlign w:val="center"/>
          </w:tcPr>
          <w:p w14:paraId="06F16C0E">
            <w:pPr>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1980" w:type="dxa"/>
            <w:tcMar>
              <w:top w:w="20" w:type="dxa"/>
              <w:left w:w="20" w:type="dxa"/>
              <w:bottom w:w="0" w:type="dxa"/>
              <w:right w:w="20" w:type="dxa"/>
            </w:tcMar>
            <w:vAlign w:val="center"/>
          </w:tcPr>
          <w:p w14:paraId="76CAFD8B">
            <w:pPr>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886" w:type="dxa"/>
            <w:tcMar>
              <w:top w:w="20" w:type="dxa"/>
              <w:left w:w="20" w:type="dxa"/>
              <w:bottom w:w="0" w:type="dxa"/>
              <w:right w:w="20" w:type="dxa"/>
            </w:tcMar>
            <w:vAlign w:val="center"/>
          </w:tcPr>
          <w:p w14:paraId="646DC0FE">
            <w:pPr>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985" w:type="dxa"/>
            <w:tcMar>
              <w:top w:w="20" w:type="dxa"/>
              <w:left w:w="20" w:type="dxa"/>
              <w:bottom w:w="0" w:type="dxa"/>
              <w:right w:w="20" w:type="dxa"/>
            </w:tcMar>
            <w:vAlign w:val="center"/>
          </w:tcPr>
          <w:p w14:paraId="6191C815">
            <w:pPr>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984" w:type="dxa"/>
            <w:tcMar>
              <w:top w:w="20" w:type="dxa"/>
              <w:left w:w="20" w:type="dxa"/>
              <w:bottom w:w="0" w:type="dxa"/>
              <w:right w:w="20" w:type="dxa"/>
            </w:tcMar>
            <w:vAlign w:val="center"/>
          </w:tcPr>
          <w:p w14:paraId="30B5B87A">
            <w:pPr>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978" w:type="dxa"/>
            <w:vAlign w:val="center"/>
          </w:tcPr>
          <w:p w14:paraId="4672FAE9">
            <w:pPr>
              <w:spacing w:line="360" w:lineRule="auto"/>
              <w:jc w:val="center"/>
              <w:rPr>
                <w:rFonts w:hint="eastAsia" w:ascii="宋体" w:hAnsi="宋体" w:eastAsia="宋体" w:cs="宋体"/>
                <w:color w:val="000000" w:themeColor="text1"/>
                <w:kern w:val="0"/>
                <w:sz w:val="24"/>
                <w14:textFill>
                  <w14:solidFill>
                    <w14:schemeClr w14:val="tx1"/>
                  </w14:solidFill>
                </w14:textFill>
              </w:rPr>
            </w:pPr>
          </w:p>
        </w:tc>
        <w:tc>
          <w:tcPr>
            <w:tcW w:w="580" w:type="dxa"/>
            <w:tcMar>
              <w:top w:w="20" w:type="dxa"/>
              <w:left w:w="20" w:type="dxa"/>
              <w:bottom w:w="0" w:type="dxa"/>
              <w:right w:w="20" w:type="dxa"/>
            </w:tcMar>
            <w:vAlign w:val="center"/>
          </w:tcPr>
          <w:p w14:paraId="44108746">
            <w:pPr>
              <w:spacing w:line="360" w:lineRule="auto"/>
              <w:jc w:val="center"/>
              <w:rPr>
                <w:rFonts w:hint="eastAsia" w:ascii="宋体" w:hAnsi="宋体" w:eastAsia="宋体" w:cs="宋体"/>
                <w:color w:val="000000" w:themeColor="text1"/>
                <w:sz w:val="24"/>
                <w14:textFill>
                  <w14:solidFill>
                    <w14:schemeClr w14:val="tx1"/>
                  </w14:solidFill>
                </w14:textFill>
              </w:rPr>
            </w:pPr>
          </w:p>
        </w:tc>
      </w:tr>
      <w:tr w14:paraId="6E312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1" w:hRule="atLeast"/>
          <w:jc w:val="center"/>
        </w:trPr>
        <w:tc>
          <w:tcPr>
            <w:tcW w:w="488" w:type="dxa"/>
            <w:tcMar>
              <w:top w:w="20" w:type="dxa"/>
              <w:left w:w="20" w:type="dxa"/>
              <w:bottom w:w="0" w:type="dxa"/>
              <w:right w:w="20" w:type="dxa"/>
            </w:tcMar>
            <w:vAlign w:val="center"/>
          </w:tcPr>
          <w:p w14:paraId="46A2486E">
            <w:pPr>
              <w:spacing w:line="360" w:lineRule="auto"/>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w:t>
            </w:r>
          </w:p>
        </w:tc>
        <w:tc>
          <w:tcPr>
            <w:tcW w:w="1805" w:type="dxa"/>
            <w:tcMar>
              <w:top w:w="20" w:type="dxa"/>
              <w:left w:w="20" w:type="dxa"/>
              <w:bottom w:w="0" w:type="dxa"/>
              <w:right w:w="20" w:type="dxa"/>
            </w:tcMar>
            <w:vAlign w:val="center"/>
          </w:tcPr>
          <w:p w14:paraId="5AC172DC">
            <w:pPr>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1980" w:type="dxa"/>
            <w:tcMar>
              <w:top w:w="20" w:type="dxa"/>
              <w:left w:w="20" w:type="dxa"/>
              <w:bottom w:w="0" w:type="dxa"/>
              <w:right w:w="20" w:type="dxa"/>
            </w:tcMar>
            <w:vAlign w:val="center"/>
          </w:tcPr>
          <w:p w14:paraId="4A604607">
            <w:pPr>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886" w:type="dxa"/>
            <w:tcMar>
              <w:top w:w="20" w:type="dxa"/>
              <w:left w:w="20" w:type="dxa"/>
              <w:bottom w:w="0" w:type="dxa"/>
              <w:right w:w="20" w:type="dxa"/>
            </w:tcMar>
            <w:vAlign w:val="center"/>
          </w:tcPr>
          <w:p w14:paraId="6A6B47CB">
            <w:pPr>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985" w:type="dxa"/>
            <w:tcMar>
              <w:top w:w="20" w:type="dxa"/>
              <w:left w:w="20" w:type="dxa"/>
              <w:bottom w:w="0" w:type="dxa"/>
              <w:right w:w="20" w:type="dxa"/>
            </w:tcMar>
            <w:vAlign w:val="center"/>
          </w:tcPr>
          <w:p w14:paraId="30AE1B00">
            <w:pPr>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984" w:type="dxa"/>
            <w:tcMar>
              <w:top w:w="20" w:type="dxa"/>
              <w:left w:w="20" w:type="dxa"/>
              <w:bottom w:w="0" w:type="dxa"/>
              <w:right w:w="20" w:type="dxa"/>
            </w:tcMar>
            <w:vAlign w:val="center"/>
          </w:tcPr>
          <w:p w14:paraId="224EAA31">
            <w:pPr>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978" w:type="dxa"/>
            <w:vAlign w:val="center"/>
          </w:tcPr>
          <w:p w14:paraId="3EE3CF73">
            <w:pPr>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580" w:type="dxa"/>
            <w:tcMar>
              <w:top w:w="20" w:type="dxa"/>
              <w:left w:w="20" w:type="dxa"/>
              <w:bottom w:w="0" w:type="dxa"/>
              <w:right w:w="20" w:type="dxa"/>
            </w:tcMar>
            <w:vAlign w:val="center"/>
          </w:tcPr>
          <w:p w14:paraId="449A4AB7">
            <w:pPr>
              <w:spacing w:line="360" w:lineRule="auto"/>
              <w:jc w:val="center"/>
              <w:rPr>
                <w:rFonts w:hint="eastAsia" w:ascii="宋体" w:hAnsi="宋体" w:eastAsia="宋体" w:cs="宋体"/>
                <w:color w:val="000000" w:themeColor="text1"/>
                <w:sz w:val="24"/>
                <w14:textFill>
                  <w14:solidFill>
                    <w14:schemeClr w14:val="tx1"/>
                  </w14:solidFill>
                </w14:textFill>
              </w:rPr>
            </w:pPr>
          </w:p>
        </w:tc>
      </w:tr>
      <w:tr w14:paraId="21DB9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4273" w:type="dxa"/>
            <w:gridSpan w:val="3"/>
            <w:vMerge w:val="restart"/>
            <w:tcMar>
              <w:top w:w="20" w:type="dxa"/>
              <w:left w:w="20" w:type="dxa"/>
              <w:bottom w:w="0" w:type="dxa"/>
              <w:right w:w="20" w:type="dxa"/>
            </w:tcMar>
            <w:vAlign w:val="center"/>
          </w:tcPr>
          <w:p w14:paraId="6E29CBDD">
            <w:pPr>
              <w:spacing w:line="360" w:lineRule="auto"/>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合计(元)</w:t>
            </w:r>
          </w:p>
        </w:tc>
        <w:tc>
          <w:tcPr>
            <w:tcW w:w="4413" w:type="dxa"/>
            <w:gridSpan w:val="5"/>
            <w:tcMar>
              <w:top w:w="20" w:type="dxa"/>
              <w:left w:w="20" w:type="dxa"/>
              <w:bottom w:w="0" w:type="dxa"/>
              <w:right w:w="20" w:type="dxa"/>
            </w:tcMar>
            <w:vAlign w:val="center"/>
          </w:tcPr>
          <w:p w14:paraId="547EDC70">
            <w:pPr>
              <w:spacing w:line="360" w:lineRule="auto"/>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大写： </w:t>
            </w:r>
          </w:p>
        </w:tc>
      </w:tr>
      <w:tr w14:paraId="73A4F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4273" w:type="dxa"/>
            <w:gridSpan w:val="3"/>
            <w:vMerge w:val="continue"/>
            <w:tcMar>
              <w:top w:w="20" w:type="dxa"/>
              <w:left w:w="20" w:type="dxa"/>
              <w:bottom w:w="0" w:type="dxa"/>
              <w:right w:w="20" w:type="dxa"/>
            </w:tcMar>
            <w:vAlign w:val="center"/>
          </w:tcPr>
          <w:p w14:paraId="0061D26D">
            <w:pPr>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4413" w:type="dxa"/>
            <w:gridSpan w:val="5"/>
            <w:tcMar>
              <w:top w:w="20" w:type="dxa"/>
              <w:left w:w="20" w:type="dxa"/>
              <w:bottom w:w="0" w:type="dxa"/>
              <w:right w:w="20" w:type="dxa"/>
            </w:tcMar>
            <w:vAlign w:val="center"/>
          </w:tcPr>
          <w:p w14:paraId="43D23E18">
            <w:pPr>
              <w:spacing w:line="360" w:lineRule="auto"/>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小写：   元</w:t>
            </w:r>
          </w:p>
        </w:tc>
      </w:tr>
    </w:tbl>
    <w:p w14:paraId="1A760ACC">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1.2 合同总额是指设备到达西安建筑科技大学指定地点、完成验收后的价格，其中已包含货物费（含备品备件费）、包装费、运杂费（含搬运、装卸、保险费等）、工程费、材料费、全部税费、安装调试费等相关费用。</w:t>
      </w:r>
    </w:p>
    <w:p w14:paraId="3D88E171">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1.3 合同总额为一次性包死价格，不受市场价格的变化和影响，在合同不发生变更时作为付款结算的依据。</w:t>
      </w:r>
    </w:p>
    <w:p w14:paraId="473D81C5">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1.4 设备的技术参数要求</w:t>
      </w:r>
    </w:p>
    <w:p w14:paraId="1DA8349E">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1.4.1本合同条款下提交货物的技术规格要求应等于或优于招投标文件技术规格要求（设备的技术参数和指标详见附件）。若技术规格要求中无相应规定，则应符合相应的国家有关部门最新颁布的相应正式标准。</w:t>
      </w:r>
    </w:p>
    <w:p w14:paraId="58F740E7">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1.4.2乙方应向甲方提供有关标准的中文文本。</w:t>
      </w:r>
    </w:p>
    <w:p w14:paraId="2081BDE7">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1.4.3除非技术规范中另有规定，计量单位均采用中华人民共和国法定计量单位。</w:t>
      </w:r>
    </w:p>
    <w:p w14:paraId="2C5F148C">
      <w:pPr>
        <w:snapToGrid w:val="0"/>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 xml:space="preserve">2. 包装运输要求 </w:t>
      </w:r>
    </w:p>
    <w:p w14:paraId="56A3F93A">
      <w:pPr>
        <w:spacing w:line="360" w:lineRule="auto"/>
        <w:ind w:left="105" w:firstLine="480" w:firstLineChars="200"/>
        <w:outlineLvl w:val="2"/>
        <w:rPr>
          <w:rFonts w:hint="eastAsia" w:ascii="宋体" w:hAnsi="宋体" w:eastAsia="宋体" w:cs="宋体"/>
          <w:color w:val="000000" w:themeColor="text1"/>
          <w:sz w:val="24"/>
          <w14:textFill>
            <w14:solidFill>
              <w14:schemeClr w14:val="tx1"/>
            </w14:solidFill>
          </w14:textFill>
        </w:rPr>
      </w:pPr>
      <w:bookmarkStart w:id="2" w:name="_Toc87"/>
      <w:r>
        <w:rPr>
          <w:rFonts w:hint="eastAsia" w:ascii="宋体" w:hAnsi="宋体" w:eastAsia="宋体" w:cs="宋体"/>
          <w:color w:val="000000" w:themeColor="text1"/>
          <w:sz w:val="24"/>
          <w14:textFill>
            <w14:solidFill>
              <w14:schemeClr w14:val="tx1"/>
            </w14:solidFill>
          </w14:textFill>
        </w:rPr>
        <w:t>仪器设备的运输方式由乙方自行选择，在生产、运输、装卸过程中的任何安全问题与甲方无关，乙方应做好仪器设备的安全防护工作，保证甲方收到的是无任何损伤的货物。仪器设备包装必须符合国家标准或行业标准，满足航空、铁路或公路运输以及货物装卸要求，乙方若因自身原因出现任何安全事故，责任均由乙方承担。同时，对于在此过程中由于乙方未尽义务，造成与甲方有关人或物的损伤，乙方应全部承担责任。</w:t>
      </w:r>
      <w:bookmarkEnd w:id="2"/>
    </w:p>
    <w:p w14:paraId="6B9D1304">
      <w:pPr>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3.交货时间及交货地点</w:t>
      </w:r>
    </w:p>
    <w:p w14:paraId="03EF5E58">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3.1本项目为交钥匙工程，乙方要提供整套合格产品，切实做好安全防护相关工作。产品交货、安装地点均为甲方指定地点。</w:t>
      </w:r>
    </w:p>
    <w:p w14:paraId="1102FA03">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3.2 合同签订后</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个工作日内，乙方负责将产品运输到指定地点，并按照验收标准和验收程序完成设备的安装、调试和验收工作。乙方保证运输过程产品包装完好、安装调试及验收时设备外观无划痕，设备质量完好。</w:t>
      </w:r>
    </w:p>
    <w:p w14:paraId="3A3E06BA">
      <w:pPr>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4.产品质量保证</w:t>
      </w:r>
    </w:p>
    <w:p w14:paraId="7894EBE7">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4.1乙方提供的设备及配套产品，必须是合同规定厂家制造的、合格、全新、未曾使用的产品，产品内部无损坏，外表无磨损，内部包装无破损。整套产品必须通过由国家技术监督部门授权的计量检定单位的检定，并附有检定使用合格证书。</w:t>
      </w:r>
    </w:p>
    <w:p w14:paraId="042AF110">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4.2 乙方提供的设备及配套产品必须等同于或优于合同技术指标要求，并能按国家标准供应、检测、调试，确保产品技术指标满足使用要求。</w:t>
      </w:r>
    </w:p>
    <w:p w14:paraId="7E6E94E7">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4.3乙方须保证所提供的货物经正确安装、正常运转和保养，在其使用寿命期内须具有符合质量要求和产品说明书的性能。在产品质量保证期之内，乙方须对由于设计、工艺或材料的缺陷而发生的任何不足或故障负责，并免费予以改进或更换。</w:t>
      </w:r>
    </w:p>
    <w:p w14:paraId="7353548E">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4.4根据甲方按检验标准自己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破损货物。乙方在甲方发出质量异议通知后，未作答复，甲方在通知书中所提出的要求应视为已被乙方接受。</w:t>
      </w:r>
    </w:p>
    <w:p w14:paraId="5EDFC87D">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4.5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力不受影响。</w:t>
      </w:r>
    </w:p>
    <w:p w14:paraId="4A1B5BD2">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4.6产品质量保证期为甲方最终设备验收合格后</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年，设备正常使用寿命为</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年。质量保证期内乙方免费维修，包括设备的零配件及国内不能解决的故障需要返回生产厂维修时所发生的一切费用。须更换的零配件乙方保证原厂原装，如遇系统更新升级，乙方免费负责更新原装正版系统。质保期满后，乙方负责设备的终身维修。甲方如需更换设备的零配件，乙方保证更换的零配件为原厂原装，并只收取零配件的成本费，同时由乙方负责更换调试合格。</w:t>
      </w:r>
    </w:p>
    <w:p w14:paraId="169E5D29">
      <w:pPr>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5.技术服务承诺</w:t>
      </w:r>
    </w:p>
    <w:p w14:paraId="5468A783">
      <w:pPr>
        <w:spacing w:line="360" w:lineRule="auto"/>
        <w:ind w:left="105" w:firstLine="360" w:firstLineChars="150"/>
        <w:outlineLvl w:val="2"/>
        <w:rPr>
          <w:rFonts w:hint="eastAsia" w:ascii="宋体" w:hAnsi="宋体" w:eastAsia="宋体" w:cs="宋体"/>
          <w:color w:val="000000" w:themeColor="text1"/>
          <w:sz w:val="24"/>
          <w14:textFill>
            <w14:solidFill>
              <w14:schemeClr w14:val="tx1"/>
            </w14:solidFill>
          </w14:textFill>
        </w:rPr>
      </w:pPr>
      <w:bookmarkStart w:id="3" w:name="_Toc23387"/>
      <w:r>
        <w:rPr>
          <w:rFonts w:hint="eastAsia" w:ascii="宋体" w:hAnsi="宋体" w:eastAsia="宋体" w:cs="宋体"/>
          <w:color w:val="000000" w:themeColor="text1"/>
          <w:sz w:val="24"/>
          <w14:textFill>
            <w14:solidFill>
              <w14:schemeClr w14:val="tx1"/>
            </w14:solidFill>
          </w14:textFill>
        </w:rPr>
        <w:t>5.1乙方应严格按照供货时间，及时给甲方供货。</w:t>
      </w:r>
      <w:bookmarkEnd w:id="3"/>
    </w:p>
    <w:p w14:paraId="4DEF4094">
      <w:pPr>
        <w:spacing w:line="360" w:lineRule="auto"/>
        <w:ind w:left="105" w:firstLine="360" w:firstLineChars="150"/>
        <w:outlineLvl w:val="2"/>
        <w:rPr>
          <w:rFonts w:hint="eastAsia" w:ascii="宋体" w:hAnsi="宋体" w:eastAsia="宋体" w:cs="宋体"/>
          <w:color w:val="000000" w:themeColor="text1"/>
          <w:sz w:val="24"/>
          <w14:textFill>
            <w14:solidFill>
              <w14:schemeClr w14:val="tx1"/>
            </w14:solidFill>
          </w14:textFill>
        </w:rPr>
      </w:pPr>
      <w:bookmarkStart w:id="4" w:name="_Toc16520"/>
      <w:r>
        <w:rPr>
          <w:rFonts w:hint="eastAsia" w:ascii="宋体" w:hAnsi="宋体" w:eastAsia="宋体" w:cs="宋体"/>
          <w:color w:val="000000" w:themeColor="text1"/>
          <w:sz w:val="24"/>
          <w14:textFill>
            <w14:solidFill>
              <w14:schemeClr w14:val="tx1"/>
            </w14:solidFill>
          </w14:textFill>
        </w:rPr>
        <w:t>5.2乙方负责提供仪器设备相应的技术资料，包括产品合格证、产品保修单、安装使用及维护说明书以及运输装箱清单等,并对所有技术材料的真实性、准确性、先进性、完整性负责。</w:t>
      </w:r>
      <w:bookmarkEnd w:id="4"/>
    </w:p>
    <w:p w14:paraId="6E8D4E7F">
      <w:pPr>
        <w:spacing w:line="360" w:lineRule="auto"/>
        <w:ind w:left="105" w:firstLine="360" w:firstLineChars="150"/>
        <w:outlineLvl w:val="2"/>
        <w:rPr>
          <w:rFonts w:hint="eastAsia" w:ascii="宋体" w:hAnsi="宋体" w:eastAsia="宋体" w:cs="宋体"/>
          <w:b/>
          <w:color w:val="000000" w:themeColor="text1"/>
          <w:sz w:val="24"/>
          <w14:textFill>
            <w14:solidFill>
              <w14:schemeClr w14:val="tx1"/>
            </w14:solidFill>
          </w14:textFill>
        </w:rPr>
      </w:pPr>
      <w:bookmarkStart w:id="5" w:name="_Toc13760"/>
      <w:r>
        <w:rPr>
          <w:rFonts w:hint="eastAsia" w:ascii="宋体" w:hAnsi="宋体" w:eastAsia="宋体" w:cs="宋体"/>
          <w:color w:val="000000" w:themeColor="text1"/>
          <w:sz w:val="24"/>
          <w14:textFill>
            <w14:solidFill>
              <w14:schemeClr w14:val="tx1"/>
            </w14:solidFill>
          </w14:textFill>
        </w:rPr>
        <w:t>5.3人员培训：乙方终身免费为甲方培训设备使用人员，培训内容包括：设备操作、维护、简单维修等。</w:t>
      </w:r>
      <w:bookmarkEnd w:id="5"/>
    </w:p>
    <w:p w14:paraId="3E094B15">
      <w:pPr>
        <w:spacing w:line="360" w:lineRule="auto"/>
        <w:ind w:firstLine="480"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5.4</w:t>
      </w:r>
      <w:r>
        <w:rPr>
          <w:rFonts w:hint="eastAsia" w:ascii="宋体" w:hAnsi="宋体" w:eastAsia="宋体" w:cs="宋体"/>
          <w:color w:val="000000" w:themeColor="text1"/>
          <w:sz w:val="24"/>
          <w14:textFill>
            <w14:solidFill>
              <w14:schemeClr w14:val="tx1"/>
            </w14:solidFill>
          </w14:textFill>
        </w:rPr>
        <w:t>售后服务：质保期内乙方对甲方提出的服务响应不得超出</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小时。</w:t>
      </w:r>
    </w:p>
    <w:p w14:paraId="059242AB">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5.5具体服务详见乙方投标文件中乙方的承诺书。</w:t>
      </w:r>
    </w:p>
    <w:p w14:paraId="57144C06">
      <w:pPr>
        <w:snapToGrid w:val="0"/>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6.验收方法及标准</w:t>
      </w:r>
    </w:p>
    <w:p w14:paraId="40B55AF8">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6.1开箱验收</w:t>
      </w:r>
    </w:p>
    <w:p w14:paraId="086FBF4D">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6.1.1产品运抵现场后，双方应及时开箱验收，并制作验收记录，以确认与本合同约定的数量、型号等是否一致。</w:t>
      </w:r>
    </w:p>
    <w:p w14:paraId="420AB355">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6.1.2 乙方应在交货前对产品的质量、规格、数量等进行详细而全面的检验，并出具证明产品符合合同规定的文件。该文件将作为申请付款单据的一部分，但有关质量、规格、数量的检验不应视为最终检验。</w:t>
      </w:r>
    </w:p>
    <w:p w14:paraId="2F8E8CDC">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6.1.3乙方所供设备必须按我国现使用的标准制造，所购标准件和原材料均是国家名牌企业（或用户指定厂家）的合格产品，不会受到其它方提出的专利权、商标权或工业设计权等起诉。其余技术条件完全按照甲方要求。</w:t>
      </w:r>
    </w:p>
    <w:p w14:paraId="0ABEAA9E">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6.1.4 开箱验收中如发现产品的数量、规格与合同约定不符，甲方有权拒收产品，乙方应及时按甲方要求免费对拒收产品采取更换或其他必要的补救措施，直至开箱验收合格，方视为乙方完成交货。</w:t>
      </w:r>
    </w:p>
    <w:p w14:paraId="4FA428F1">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6.2  检验验收</w:t>
      </w:r>
    </w:p>
    <w:p w14:paraId="67C39292">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6.2.1 交货完成后，乙方应及时组装、调试、试运行，按照合同条款规定的试运行完成后，双方及时组织对产品检验验收。合同双方均须派人参加合同要求双方参加的试验、检验。</w:t>
      </w:r>
    </w:p>
    <w:p w14:paraId="54DACFE4">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6.2.2 在具体实施合同规定的检验验收之前，乙方需提前提交相应的测试计划（包括测试程序、测试内容和检验标准、试验时间安排等）供甲方确认。</w:t>
      </w:r>
    </w:p>
    <w:p w14:paraId="69664A66">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6.2.3  除需甲方确认的试验验收外，乙方还应对所有检验验收测试的结果、步骤、原始数据等作妥善记录。如甲方要求，乙方应提供这些记录给甲方。</w:t>
      </w:r>
    </w:p>
    <w:p w14:paraId="14410C77">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6.2.4  检验测试出现全部或部分未达到本合同所约定的技术指标，甲方有权选择下列任一处理方式：</w:t>
      </w:r>
    </w:p>
    <w:p w14:paraId="1E87E9CE">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a.重新测试直至合格为止；</w:t>
      </w:r>
    </w:p>
    <w:p w14:paraId="5F213CA1">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b.要求乙方对货物进行免费更换，然后重新测试直至合格为止；</w:t>
      </w:r>
    </w:p>
    <w:p w14:paraId="191FE08E">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无论选择何种方式，甲方因此而发生的因乙方原因引起的所有费用均由乙方负担。</w:t>
      </w:r>
    </w:p>
    <w:p w14:paraId="76F668EC">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6.3  使用过程检验</w:t>
      </w:r>
    </w:p>
    <w:p w14:paraId="66240E8F">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6.3.1在合同规定的质量保证期内，发现设备的质量或规格与合同规定不符，或证明设备有缺陷，包括潜在的缺陷或使用不合适的原材料等，由甲方组织质检（相关检测费用由乙方承担），据质检报告及质量保证条款向乙方提出索赔，此索赔并不免除乙方应承担的合同义务。</w:t>
      </w:r>
    </w:p>
    <w:p w14:paraId="104F624A">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6.3.2如果合同双方对乙方提供的上述试验结果报告的解释有分歧，双方须于出现分歧后10天内给对方声明，以陈述己方的观点。声明须附有关证据。分歧应通过协商解决。</w:t>
      </w:r>
    </w:p>
    <w:p w14:paraId="507A584B">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6.4  所有验收合格，但不能免除乙方应该承担的质保责任。</w:t>
      </w:r>
    </w:p>
    <w:p w14:paraId="009A23EB">
      <w:pPr>
        <w:snapToGrid w:val="0"/>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7.合同款项支付方式</w:t>
      </w:r>
    </w:p>
    <w:p w14:paraId="3460ACB6">
      <w:pPr>
        <w:pStyle w:val="5"/>
        <w:spacing w:line="50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7.1履约保证金：</w:t>
      </w:r>
    </w:p>
    <w:p w14:paraId="7BCEA0C0">
      <w:pPr>
        <w:pStyle w:val="5"/>
        <w:spacing w:line="500" w:lineRule="exact"/>
        <w:ind w:firstLine="480" w:firstLineChars="200"/>
        <w:rPr>
          <w:rFonts w:hint="eastAsia"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供应商成交后凭成交通知书向学校缴纳成交金额的</w:t>
      </w:r>
      <w:r>
        <w:rPr>
          <w:rFonts w:hint="eastAsia" w:ascii="宋体" w:hAnsi="宋体" w:cs="宋体"/>
          <w:color w:val="000000" w:themeColor="text1"/>
          <w:sz w:val="24"/>
          <w:u w:val="single"/>
          <w14:textFill>
            <w14:solidFill>
              <w14:schemeClr w14:val="tx1"/>
            </w14:solidFill>
          </w14:textFill>
        </w:rPr>
        <w:t xml:space="preserve"> 5 </w:t>
      </w:r>
      <w:r>
        <w:rPr>
          <w:rFonts w:ascii="宋体" w:hAnsi="宋体" w:cs="宋体"/>
          <w:color w:val="000000" w:themeColor="text1"/>
          <w:sz w:val="24"/>
          <w14:textFill>
            <w14:solidFill>
              <w14:schemeClr w14:val="tx1"/>
            </w14:solidFill>
          </w14:textFill>
        </w:rPr>
        <w:t>%作为履约保证金，待合同履约完毕后无息退还。</w:t>
      </w:r>
    </w:p>
    <w:p w14:paraId="40F9DAE7">
      <w:pPr>
        <w:pStyle w:val="5"/>
        <w:spacing w:line="500" w:lineRule="exact"/>
        <w:ind w:firstLine="482" w:firstLineChars="200"/>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7.2合同款支付</w:t>
      </w:r>
    </w:p>
    <w:p w14:paraId="4C4F966D">
      <w:pPr>
        <w:snapToGrid w:val="0"/>
        <w:spacing w:line="360" w:lineRule="auto"/>
        <w:ind w:firstLine="482" w:firstLineChars="200"/>
        <w:rPr>
          <w:rFonts w:hint="eastAsia" w:ascii="宋体" w:hAnsi="宋体" w:eastAsia="宋体" w:cs="宋体"/>
          <w:b/>
          <w:bCs/>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国产设备：</w:t>
      </w:r>
    </w:p>
    <w:p w14:paraId="244AAA84">
      <w:pPr>
        <w:pStyle w:val="11"/>
        <w:spacing w:line="360" w:lineRule="auto"/>
        <w:ind w:firstLine="480" w:firstLineChars="200"/>
        <w:rPr>
          <w:rFonts w:ascii="宋体" w:hAnsi="宋体" w:eastAsia="宋体" w:cs="宋体"/>
          <w:color w:val="000000" w:themeColor="text1"/>
          <w:sz w:val="24"/>
          <w:szCs w:val="24"/>
          <w:lang w:eastAsia="zh-CN"/>
          <w14:textFill>
            <w14:solidFill>
              <w14:schemeClr w14:val="tx1"/>
            </w14:solidFill>
          </w14:textFill>
        </w:rPr>
      </w:pPr>
      <w:r>
        <w:rPr>
          <w:rFonts w:ascii="宋体" w:hAnsi="宋体" w:eastAsia="宋体" w:cs="宋体"/>
          <w:color w:val="000000" w:themeColor="text1"/>
          <w:sz w:val="24"/>
          <w:szCs w:val="24"/>
          <w:lang w:eastAsia="zh-CN"/>
          <w14:textFill>
            <w14:solidFill>
              <w14:schemeClr w14:val="tx1"/>
            </w14:solidFill>
          </w14:textFill>
        </w:rPr>
        <w:t>签订合同后15日内，乙方提供经甲方认可的合同金额100%的预付款保函或双方认可的其他担保措施，支付合同金额的100%。</w:t>
      </w:r>
    </w:p>
    <w:p w14:paraId="5F7C5867">
      <w:pPr>
        <w:snapToGrid w:val="0"/>
        <w:spacing w:line="360" w:lineRule="auto"/>
        <w:rPr>
          <w:rFonts w:hint="eastAsia" w:ascii="宋体" w:hAnsi="宋体" w:eastAsia="宋体" w:cs="宋体"/>
          <w:b/>
          <w:bCs/>
          <w:color w:val="000000" w:themeColor="text1"/>
          <w:sz w:val="24"/>
          <w14:textFill>
            <w14:solidFill>
              <w14:schemeClr w14:val="tx1"/>
            </w14:solidFill>
          </w14:textFill>
        </w:rPr>
      </w:pPr>
    </w:p>
    <w:p w14:paraId="40584813">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7.3最终结算时，乙方须向甲方出具合同总价款的增值税专用发票。</w:t>
      </w:r>
    </w:p>
    <w:p w14:paraId="15D1E6E2">
      <w:pPr>
        <w:snapToGrid w:val="0"/>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8.安全生产和文明施工</w:t>
      </w:r>
    </w:p>
    <w:p w14:paraId="309327BF">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8.1 现场安全文明施工由乙方编制专项详细方案并严格执行。</w:t>
      </w:r>
    </w:p>
    <w:p w14:paraId="18689458">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8.2 乙方必须认真执行省市有关施工安全生产条例和规定以及甲方管理要求，并做好安全管理工作，避免并杜绝安全事故的发生。如发生安全事故，一切责任与后果均由乙方承担，同时，给甲方造成损失，甲方将视情况对乙方处以相应的经济赔偿。</w:t>
      </w:r>
    </w:p>
    <w:p w14:paraId="7F0FB228">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8.3 在设备安装施工全过程中，乙方应服从甲方的各项管理，并对乙方施工人员进行安全管理。</w:t>
      </w:r>
    </w:p>
    <w:p w14:paraId="18329F98">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8.4 确保现场建筑物及相关设施设备完好无损，如施工过程中出现损坏，乙方负责修复赔偿。</w:t>
      </w:r>
    </w:p>
    <w:p w14:paraId="692155D2">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8.5 乙方应对安装施工人员相关岗位上岗资格进行审查，并对相关后果负责。</w:t>
      </w:r>
    </w:p>
    <w:p w14:paraId="3EE63DB2">
      <w:pPr>
        <w:snapToGrid w:val="0"/>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9.索赔</w:t>
      </w:r>
    </w:p>
    <w:p w14:paraId="21D9986D">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9.1产品的质量、规格、型号、数量、性能、产地及零配件等与合同约定不符，或在质量保证期内证实货物存有缺陷，包括潜在的缺陷或使用不符合要求的材料等，甲方有权根据有资质的权威质检机构的检验结果向乙方提出索赔（但责任应由保险公司或运输部门承担的除外）。</w:t>
      </w:r>
    </w:p>
    <w:p w14:paraId="33B9615E">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bookmarkStart w:id="6" w:name="_Ref467378076"/>
      <w:r>
        <w:rPr>
          <w:rFonts w:hint="eastAsia" w:ascii="宋体" w:hAnsi="宋体" w:eastAsia="宋体" w:cs="宋体"/>
          <w:color w:val="000000" w:themeColor="text1"/>
          <w:sz w:val="24"/>
          <w14:textFill>
            <w14:solidFill>
              <w14:schemeClr w14:val="tx1"/>
            </w14:solidFill>
          </w14:textFill>
        </w:rPr>
        <w:t>9.2在验收合格前，乙方对甲方提出的索赔负有责任，乙方应按照甲方同意的下列一种或多种方式解决索赔事宜：</w:t>
      </w:r>
      <w:bookmarkEnd w:id="6"/>
    </w:p>
    <w:p w14:paraId="69D92FD5">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9.2.1在法定的退货期内，乙方应按合同规定将货款全额退还给甲方，并承担由此发生的一切损失和费用，包括利息、银行手续费、运费、保险费、检验费、仓储费、装卸费以及为保护退回货物所需的其它必要费用。如已超过退货期，但乙方同意退货，可比照上述办法办理，或由双方协商处理。</w:t>
      </w:r>
    </w:p>
    <w:p w14:paraId="4C0CF2AB">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9.2.2根据货物低劣程度、损坏程度以及甲方所遭受损失的数额，经甲乙双方商定降低货物的价格，或由有资质的中介机构评估，以降低后的价格或评估价格为准。</w:t>
      </w:r>
    </w:p>
    <w:p w14:paraId="27C6605E">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9.2.3用符合规格、质量和性能要求的原厂原装新零件、部件或货物来更换有缺陷的部分或修补缺陷部分，乙方应承担一切费用和风险，并负担甲方所发生的一切直接费用。同时，乙方应相应延长、修补或更换件的质保期。</w:t>
      </w:r>
    </w:p>
    <w:p w14:paraId="006BAC40">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bookmarkStart w:id="7" w:name="_Ref127159050"/>
      <w:r>
        <w:rPr>
          <w:rFonts w:hint="eastAsia" w:ascii="宋体" w:hAnsi="宋体" w:eastAsia="宋体" w:cs="宋体"/>
          <w:color w:val="000000" w:themeColor="text1"/>
          <w:sz w:val="24"/>
          <w14:textFill>
            <w14:solidFill>
              <w14:schemeClr w14:val="tx1"/>
            </w14:solidFill>
          </w14:textFill>
        </w:rPr>
        <w:t>9.3乙方收到甲方发出的索赔通知之日起5个工作日内未作答复的，甲方可从合同款或履约保证金中扣回索赔金额，如金额不足以补偿索赔金额，乙方应补足差额部分。</w:t>
      </w:r>
      <w:bookmarkEnd w:id="7"/>
    </w:p>
    <w:p w14:paraId="3DBBCC45">
      <w:pPr>
        <w:snapToGrid w:val="0"/>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10.违约责任</w:t>
      </w:r>
    </w:p>
    <w:p w14:paraId="689855AC">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10.1 合同生效后，甲乙双方应按合同规定认真履约。合同履约责任只涉及合同甲乙双方，不考虑第三方因素。</w:t>
      </w:r>
    </w:p>
    <w:p w14:paraId="371B8E49">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10.2 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372E6874">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10.3如乙方产品质量不符合国家标准、行业内控标准或本合同技术附件要求的，甲方有权退货，乙方应退还全部货款，并承担甲方合同总价款10％的违约金及其他损失。</w:t>
      </w:r>
    </w:p>
    <w:p w14:paraId="0A69ED21">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10.4 在合同规定的供货期内乙方未全部交货，除应如数补齐外，还应承担合同总款的10％违约金。</w:t>
      </w:r>
    </w:p>
    <w:p w14:paraId="1CBACD4D">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10.5 乙方对货物不按招标文件要求，擅自更换，除恢复原招标产品外，应承担更换部分价款10%的违约金；乙方如对产品材质、随机配品以次充好，除全部按要求恢复外，应承担此部分价款10%的违约金。</w:t>
      </w:r>
    </w:p>
    <w:p w14:paraId="4562D34C">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10.6 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14:paraId="7B50D9A8">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10.7 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14:paraId="67BAF412">
      <w:pPr>
        <w:snapToGrid w:val="0"/>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11.合同争议的解决</w:t>
      </w:r>
    </w:p>
    <w:p w14:paraId="0A324211">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11.1甲乙双方由于本合同的履行而发生任何争议时，双方可先通过协商解决。</w:t>
      </w:r>
    </w:p>
    <w:p w14:paraId="451D2C64">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11.2任何一方不愿通过协商或通过协商仍不能解决争议，则双方中任何一方均应向甲方所在地人民法院起诉。</w:t>
      </w:r>
    </w:p>
    <w:p w14:paraId="0B3CC43C">
      <w:pPr>
        <w:snapToGrid w:val="0"/>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12.违约解除合同</w:t>
      </w:r>
    </w:p>
    <w:p w14:paraId="3540E559">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12.1出现下列情形之一的，视为乙方违约。甲方可向乙方发出书面通知，部分或全部终止合同，同时保留向乙方索赔的权利。</w:t>
      </w:r>
    </w:p>
    <w:p w14:paraId="15AB5FFA">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12.1.1乙方未能在合同规定的限期或甲方同意延长的限期内，提供全部或部分货物的； </w:t>
      </w:r>
    </w:p>
    <w:p w14:paraId="6A8DA8B9">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12.1.2乙方未能履行合同规定的其它主要义务的；</w:t>
      </w:r>
    </w:p>
    <w:p w14:paraId="578EB62B">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12.1.3乙方在本合同履行过程中有欺诈行为的。</w:t>
      </w:r>
    </w:p>
    <w:p w14:paraId="18EF7E38">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12.2甲方全部或部分解除合同之后，应当遵循诚实信用原则购买与未交付的货物类似的货物或服务，乙方应承担甲方购买类似货物或服务而产生的额外支出。部分解除合同的，乙方应继续履行合同中未解除的部分。</w:t>
      </w:r>
    </w:p>
    <w:p w14:paraId="36C9E1B7">
      <w:pPr>
        <w:snapToGrid w:val="0"/>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13.其它事项</w:t>
      </w:r>
    </w:p>
    <w:p w14:paraId="79E50C3C">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13.1 合同经双方签字盖章后生效。本合同一式五份，甲方执四份，乙方执一份，执行完毕后自行失效。</w:t>
      </w:r>
    </w:p>
    <w:p w14:paraId="63134312">
      <w:pPr>
        <w:spacing w:line="360" w:lineRule="auto"/>
        <w:ind w:firstLine="470" w:firstLineChars="196"/>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13.2 合同的附件、投标文件均作为本合同不可分割的内容，且具有同等法律效力。合同的附件由甲方使用单位负责审核并签章。</w:t>
      </w:r>
    </w:p>
    <w:p w14:paraId="7500EB51">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13.3 在本合同执行过程中，甲、乙双方协商签订的补充合同与原合同具有同等法律效力。</w:t>
      </w:r>
    </w:p>
    <w:p w14:paraId="3F508434">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13.4 未尽事宜，双方协商解决。</w:t>
      </w:r>
    </w:p>
    <w:p w14:paraId="0EEC8973">
      <w:pPr>
        <w:snapToGrid w:val="0"/>
        <w:spacing w:line="440" w:lineRule="exact"/>
        <w:ind w:firstLine="480" w:firstLineChars="200"/>
        <w:rPr>
          <w:rFonts w:hint="eastAsia" w:ascii="宋体" w:hAnsi="宋体" w:eastAsia="宋体" w:cs="宋体"/>
          <w:color w:val="000000" w:themeColor="text1"/>
          <w:sz w:val="24"/>
          <w14:textFill>
            <w14:solidFill>
              <w14:schemeClr w14:val="tx1"/>
            </w14:solidFill>
          </w14:textFill>
        </w:rPr>
      </w:pPr>
    </w:p>
    <w:p w14:paraId="2361A9FD">
      <w:pPr>
        <w:snapToGrid w:val="0"/>
        <w:spacing w:line="480" w:lineRule="exact"/>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合同签</w:t>
      </w:r>
      <w:bookmarkStart w:id="25" w:name="_GoBack"/>
      <w:bookmarkEnd w:id="25"/>
      <w:r>
        <w:rPr>
          <w:rFonts w:hint="eastAsia" w:ascii="宋体" w:hAnsi="宋体" w:eastAsia="宋体" w:cs="宋体"/>
          <w:b/>
          <w:color w:val="000000" w:themeColor="text1"/>
          <w:sz w:val="24"/>
          <w14:textFill>
            <w14:solidFill>
              <w14:schemeClr w14:val="tx1"/>
            </w14:solidFill>
          </w14:textFill>
        </w:rPr>
        <w:t>订地点：西安建筑科技大学</w:t>
      </w:r>
    </w:p>
    <w:p w14:paraId="74C32500">
      <w:pPr>
        <w:snapToGrid w:val="0"/>
        <w:spacing w:line="480" w:lineRule="exact"/>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合同签订时间：      年    月    日</w:t>
      </w:r>
    </w:p>
    <w:p w14:paraId="7D6F65E2">
      <w:pPr>
        <w:snapToGrid w:val="0"/>
        <w:spacing w:line="480" w:lineRule="exact"/>
        <w:rPr>
          <w:rFonts w:hint="eastAsia" w:ascii="宋体" w:hAnsi="宋体" w:eastAsia="宋体" w:cs="宋体"/>
          <w:b/>
          <w:color w:val="000000" w:themeColor="text1"/>
          <w:sz w:val="24"/>
          <w14:textFill>
            <w14:solidFill>
              <w14:schemeClr w14:val="tx1"/>
            </w14:solidFill>
          </w14:textFill>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57"/>
        <w:gridCol w:w="4503"/>
      </w:tblGrid>
      <w:tr w14:paraId="25A6A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35A49D17">
            <w:pPr>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甲  方（盖章）：西安建筑科技大学</w:t>
            </w:r>
          </w:p>
        </w:tc>
        <w:tc>
          <w:tcPr>
            <w:tcW w:w="4503" w:type="dxa"/>
            <w:vAlign w:val="center"/>
          </w:tcPr>
          <w:p w14:paraId="072B5D4A">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乙  方（盖章）：</w:t>
            </w:r>
          </w:p>
        </w:tc>
      </w:tr>
      <w:tr w14:paraId="2516D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04C30754">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地  址：西安市雁塔路13号</w:t>
            </w:r>
          </w:p>
        </w:tc>
        <w:tc>
          <w:tcPr>
            <w:tcW w:w="4503" w:type="dxa"/>
            <w:vAlign w:val="center"/>
          </w:tcPr>
          <w:p w14:paraId="48FCCB7A">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地  址：</w:t>
            </w:r>
          </w:p>
        </w:tc>
      </w:tr>
      <w:tr w14:paraId="15658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782AC630">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法定代表人（签字）：</w:t>
            </w:r>
          </w:p>
        </w:tc>
        <w:tc>
          <w:tcPr>
            <w:tcW w:w="4503" w:type="dxa"/>
            <w:vAlign w:val="center"/>
          </w:tcPr>
          <w:p w14:paraId="1C020AD0">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法定代表人（签字）：</w:t>
            </w:r>
          </w:p>
        </w:tc>
      </w:tr>
      <w:tr w14:paraId="4FED8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73C35AE7">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委托代理人（签字）：</w:t>
            </w:r>
          </w:p>
        </w:tc>
        <w:tc>
          <w:tcPr>
            <w:tcW w:w="4503" w:type="dxa"/>
            <w:vAlign w:val="center"/>
          </w:tcPr>
          <w:p w14:paraId="28834B54">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委托代理人（签字）：</w:t>
            </w:r>
          </w:p>
        </w:tc>
      </w:tr>
      <w:tr w14:paraId="5F3BA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679EBF14">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开户名：西安建筑科技大学</w:t>
            </w:r>
          </w:p>
        </w:tc>
        <w:tc>
          <w:tcPr>
            <w:tcW w:w="4503" w:type="dxa"/>
            <w:vAlign w:val="center"/>
          </w:tcPr>
          <w:p w14:paraId="5015611E">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开户名：</w:t>
            </w:r>
          </w:p>
        </w:tc>
      </w:tr>
      <w:tr w14:paraId="03D78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0EE60310">
            <w:pPr>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开户行：工行雁塔路支行</w:t>
            </w:r>
          </w:p>
          <w:p w14:paraId="2910444C">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税  号: 1261000043523106XB</w:t>
            </w:r>
          </w:p>
        </w:tc>
        <w:tc>
          <w:tcPr>
            <w:tcW w:w="4503" w:type="dxa"/>
            <w:vAlign w:val="center"/>
          </w:tcPr>
          <w:p w14:paraId="7018D606">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开户行：</w:t>
            </w:r>
          </w:p>
        </w:tc>
      </w:tr>
      <w:tr w14:paraId="63C2C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7ECDA32E">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帐  号：3700023009026400639</w:t>
            </w:r>
          </w:p>
        </w:tc>
        <w:tc>
          <w:tcPr>
            <w:tcW w:w="4503" w:type="dxa"/>
            <w:vAlign w:val="center"/>
          </w:tcPr>
          <w:p w14:paraId="31FA20A3">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帐  号：</w:t>
            </w:r>
          </w:p>
        </w:tc>
      </w:tr>
      <w:tr w14:paraId="192DD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42C00874">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联系人：</w:t>
            </w:r>
            <w:r>
              <w:rPr>
                <w:rFonts w:hint="eastAsia" w:ascii="宋体" w:hAnsi="宋体" w:eastAsia="宋体" w:cs="宋体"/>
                <w:color w:val="000000" w:themeColor="text1"/>
                <w:sz w:val="24"/>
                <w14:textFill>
                  <w14:solidFill>
                    <w14:schemeClr w14:val="tx1"/>
                  </w14:solidFill>
                </w14:textFill>
              </w:rPr>
              <w:t xml:space="preserve"> </w:t>
            </w:r>
            <w:r>
              <w:rPr>
                <w:rFonts w:hint="eastAsia" w:ascii="宋体" w:hAnsi="宋体" w:eastAsia="宋体" w:cs="宋体"/>
                <w:b/>
                <w:color w:val="000000" w:themeColor="text1"/>
                <w:sz w:val="24"/>
                <w14:textFill>
                  <w14:solidFill>
                    <w14:schemeClr w14:val="tx1"/>
                  </w14:solidFill>
                </w14:textFill>
              </w:rPr>
              <w:t>刘世泽</w:t>
            </w:r>
          </w:p>
        </w:tc>
        <w:tc>
          <w:tcPr>
            <w:tcW w:w="4503" w:type="dxa"/>
            <w:vAlign w:val="center"/>
          </w:tcPr>
          <w:p w14:paraId="5C1127BA">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联系人：</w:t>
            </w:r>
          </w:p>
        </w:tc>
      </w:tr>
      <w:tr w14:paraId="0016B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0FDFCA7C">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联系电话：029-82202312</w:t>
            </w:r>
          </w:p>
        </w:tc>
        <w:tc>
          <w:tcPr>
            <w:tcW w:w="4503" w:type="dxa"/>
            <w:vAlign w:val="center"/>
          </w:tcPr>
          <w:p w14:paraId="1767B1A5">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联系电话：</w:t>
            </w:r>
          </w:p>
        </w:tc>
      </w:tr>
    </w:tbl>
    <w:p w14:paraId="0339A9B4">
      <w:pPr>
        <w:rPr>
          <w:rFonts w:hint="eastAsia" w:ascii="宋体" w:hAnsi="宋体" w:eastAsia="宋体" w:cs="宋体"/>
          <w:b/>
          <w:color w:val="000000" w:themeColor="text1"/>
          <w:sz w:val="24"/>
          <w14:textFill>
            <w14:solidFill>
              <w14:schemeClr w14:val="tx1"/>
            </w14:solidFill>
          </w14:textFill>
        </w:rPr>
      </w:pPr>
    </w:p>
    <w:p w14:paraId="5630037B">
      <w:pPr>
        <w:pStyle w:val="11"/>
        <w:rPr>
          <w:rFonts w:ascii="宋体" w:hAnsi="宋体" w:eastAsia="宋体" w:cs="宋体"/>
          <w:color w:val="000000" w:themeColor="text1"/>
          <w14:textFill>
            <w14:solidFill>
              <w14:schemeClr w14:val="tx1"/>
            </w14:solidFill>
          </w14:textFill>
        </w:rPr>
      </w:pPr>
    </w:p>
    <w:p w14:paraId="31359C18">
      <w:pPr>
        <w:ind w:firstLine="236" w:firstLineChars="98"/>
        <w:rPr>
          <w:rFonts w:hint="eastAsia" w:ascii="宋体" w:hAnsi="宋体" w:eastAsia="宋体" w:cs="宋体"/>
          <w:b/>
          <w:color w:val="000000"/>
          <w:sz w:val="24"/>
          <w:szCs w:val="24"/>
        </w:rPr>
      </w:pPr>
      <w:r>
        <w:rPr>
          <w:rFonts w:hint="eastAsia" w:ascii="宋体" w:hAnsi="宋体" w:eastAsia="宋体" w:cs="宋体"/>
          <w:b/>
          <w:color w:val="000000"/>
          <w:sz w:val="24"/>
          <w:szCs w:val="24"/>
        </w:rPr>
        <w:br w:type="page"/>
      </w:r>
      <w:r>
        <w:rPr>
          <w:rFonts w:hint="eastAsia" w:ascii="宋体" w:hAnsi="宋体" w:eastAsia="宋体" w:cs="宋体"/>
          <w:b/>
          <w:color w:val="000000"/>
          <w:sz w:val="24"/>
          <w:szCs w:val="24"/>
        </w:rPr>
        <w:t>附件：技术协议</w:t>
      </w:r>
    </w:p>
    <w:p w14:paraId="1427B8A8">
      <w:pPr>
        <w:spacing w:line="360" w:lineRule="auto"/>
        <w:ind w:firstLine="482" w:firstLineChars="200"/>
        <w:rPr>
          <w:rFonts w:hint="eastAsia" w:ascii="宋体" w:hAnsi="宋体" w:eastAsia="宋体" w:cs="宋体"/>
          <w:b/>
          <w:color w:val="000000"/>
          <w:sz w:val="24"/>
          <w:szCs w:val="24"/>
        </w:rPr>
      </w:pPr>
      <w:bookmarkStart w:id="8" w:name="_Toc390360542"/>
      <w:bookmarkStart w:id="9" w:name="_Toc390373038"/>
      <w:r>
        <w:rPr>
          <w:rFonts w:hint="eastAsia" w:ascii="宋体" w:hAnsi="宋体" w:eastAsia="宋体" w:cs="宋体"/>
          <w:b/>
          <w:color w:val="000000"/>
          <w:sz w:val="24"/>
          <w:szCs w:val="24"/>
        </w:rPr>
        <w:t>1.中标产品技术参数明细</w:t>
      </w:r>
    </w:p>
    <w:p w14:paraId="458C3D8B">
      <w:pPr>
        <w:spacing w:line="360" w:lineRule="auto"/>
        <w:ind w:firstLine="480" w:firstLineChars="200"/>
        <w:rPr>
          <w:rFonts w:hint="eastAsia" w:ascii="宋体" w:hAnsi="宋体" w:eastAsia="宋体" w:cs="宋体"/>
          <w:b/>
          <w:color w:val="000000"/>
          <w:sz w:val="24"/>
          <w:szCs w:val="24"/>
        </w:rPr>
      </w:pPr>
      <w:r>
        <w:rPr>
          <w:rFonts w:hint="eastAsia" w:ascii="宋体" w:hAnsi="宋体" w:eastAsia="宋体" w:cs="宋体"/>
          <w:color w:val="000000"/>
          <w:kern w:val="0"/>
          <w:sz w:val="24"/>
          <w:szCs w:val="24"/>
        </w:rPr>
        <w:t>我公司承诺：合同中数列产品均满足标书及使用要求，无任何负偏离。并与所供产品完全一致。</w:t>
      </w:r>
    </w:p>
    <w:bookmarkEnd w:id="8"/>
    <w:bookmarkEnd w:id="9"/>
    <w:p w14:paraId="572C9CB4">
      <w:pPr>
        <w:spacing w:line="360" w:lineRule="auto"/>
        <w:ind w:firstLine="482" w:firstLineChars="200"/>
        <w:rPr>
          <w:rStyle w:val="10"/>
          <w:rFonts w:hint="eastAsia" w:ascii="宋体" w:hAnsi="宋体" w:eastAsia="宋体" w:cs="宋体"/>
          <w:color w:val="000000"/>
          <w:sz w:val="24"/>
          <w:szCs w:val="24"/>
        </w:rPr>
      </w:pPr>
      <w:r>
        <w:rPr>
          <w:rStyle w:val="10"/>
          <w:rFonts w:hint="eastAsia" w:ascii="宋体" w:hAnsi="宋体" w:eastAsia="宋体" w:cs="宋体"/>
          <w:color w:val="000000"/>
          <w:sz w:val="24"/>
          <w:szCs w:val="24"/>
        </w:rPr>
        <w:t>1.1设备特性</w:t>
      </w:r>
    </w:p>
    <w:p w14:paraId="7B6F83D2">
      <w:pPr>
        <w:spacing w:line="360" w:lineRule="auto"/>
        <w:ind w:firstLine="482" w:firstLineChars="200"/>
        <w:rPr>
          <w:rStyle w:val="10"/>
          <w:rFonts w:hint="eastAsia" w:ascii="宋体" w:hAnsi="宋体" w:eastAsia="宋体" w:cs="宋体"/>
          <w:color w:val="000000"/>
          <w:sz w:val="24"/>
          <w:szCs w:val="24"/>
        </w:rPr>
      </w:pPr>
      <w:r>
        <w:rPr>
          <w:rStyle w:val="10"/>
          <w:rFonts w:hint="eastAsia" w:ascii="宋体" w:hAnsi="宋体" w:eastAsia="宋体" w:cs="宋体"/>
          <w:color w:val="000000"/>
          <w:sz w:val="24"/>
          <w:szCs w:val="24"/>
        </w:rPr>
        <w:t>1.2</w:t>
      </w:r>
      <w:r>
        <w:rPr>
          <w:rFonts w:hint="eastAsia" w:ascii="宋体" w:hAnsi="宋体" w:eastAsia="宋体" w:cs="宋体"/>
          <w:b/>
          <w:color w:val="000000"/>
          <w:sz w:val="24"/>
          <w:szCs w:val="24"/>
        </w:rPr>
        <w:t>设备用途</w:t>
      </w:r>
    </w:p>
    <w:p w14:paraId="0A2A8187">
      <w:pPr>
        <w:spacing w:line="360" w:lineRule="auto"/>
        <w:ind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1.3设备主要参数指标</w:t>
      </w:r>
    </w:p>
    <w:p w14:paraId="494691AD">
      <w:pPr>
        <w:spacing w:line="360" w:lineRule="auto"/>
        <w:ind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1.4质量要求与安全要求</w:t>
      </w:r>
    </w:p>
    <w:p w14:paraId="63720FC4">
      <w:pPr>
        <w:spacing w:line="360" w:lineRule="auto"/>
        <w:ind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1.5设备运行一般流程图</w:t>
      </w:r>
    </w:p>
    <w:p w14:paraId="540996D1">
      <w:pPr>
        <w:spacing w:line="360" w:lineRule="auto"/>
        <w:ind w:firstLine="482" w:firstLineChars="200"/>
        <w:rPr>
          <w:rStyle w:val="10"/>
          <w:rFonts w:hint="eastAsia" w:ascii="宋体" w:hAnsi="宋体" w:eastAsia="宋体" w:cs="宋体"/>
          <w:color w:val="000000"/>
          <w:sz w:val="24"/>
          <w:szCs w:val="24"/>
        </w:rPr>
      </w:pPr>
    </w:p>
    <w:p w14:paraId="60CDD374">
      <w:pPr>
        <w:spacing w:line="360" w:lineRule="auto"/>
        <w:ind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2.售后服务内容</w:t>
      </w:r>
      <w:bookmarkStart w:id="10" w:name="_Toc390360557"/>
      <w:bookmarkStart w:id="11" w:name="_Toc373263358"/>
      <w:bookmarkStart w:id="12" w:name="_Toc390373053"/>
    </w:p>
    <w:bookmarkEnd w:id="10"/>
    <w:bookmarkEnd w:id="11"/>
    <w:bookmarkEnd w:id="12"/>
    <w:p w14:paraId="50BF643B">
      <w:pPr>
        <w:spacing w:line="360" w:lineRule="auto"/>
        <w:ind w:firstLine="482" w:firstLineChars="200"/>
        <w:rPr>
          <w:rFonts w:hint="eastAsia" w:ascii="宋体" w:hAnsi="宋体" w:eastAsia="宋体" w:cs="宋体"/>
          <w:b/>
          <w:color w:val="000000"/>
          <w:sz w:val="24"/>
          <w:szCs w:val="24"/>
        </w:rPr>
      </w:pPr>
      <w:bookmarkStart w:id="13" w:name="_Toc390373054"/>
      <w:bookmarkStart w:id="14" w:name="_Toc373263359"/>
      <w:bookmarkStart w:id="15" w:name="_Toc390360558"/>
      <w:r>
        <w:rPr>
          <w:rFonts w:hint="eastAsia" w:ascii="宋体" w:hAnsi="宋体" w:eastAsia="宋体" w:cs="宋体"/>
          <w:b/>
          <w:color w:val="000000"/>
          <w:sz w:val="24"/>
          <w:szCs w:val="24"/>
        </w:rPr>
        <w:t>2.1技术服务、售后服务体系、故障响应时间、应急维修措施</w:t>
      </w:r>
      <w:bookmarkEnd w:id="13"/>
      <w:bookmarkEnd w:id="14"/>
      <w:bookmarkEnd w:id="15"/>
    </w:p>
    <w:p w14:paraId="30A116B0">
      <w:pPr>
        <w:spacing w:line="360" w:lineRule="auto"/>
        <w:ind w:right="210" w:rightChars="100" w:firstLine="480" w:firstLineChars="200"/>
        <w:outlineLvl w:val="3"/>
        <w:rPr>
          <w:rFonts w:hint="eastAsia" w:ascii="宋体" w:hAnsi="宋体" w:eastAsia="宋体" w:cs="宋体"/>
          <w:color w:val="000000"/>
          <w:sz w:val="24"/>
          <w:szCs w:val="24"/>
        </w:rPr>
      </w:pPr>
      <w:r>
        <w:rPr>
          <w:rFonts w:hint="eastAsia" w:ascii="宋体" w:hAnsi="宋体" w:eastAsia="宋体" w:cs="宋体"/>
          <w:color w:val="000000"/>
          <w:sz w:val="24"/>
          <w:szCs w:val="24"/>
        </w:rPr>
        <w:t>2.1.1技术服务措施</w:t>
      </w:r>
    </w:p>
    <w:p w14:paraId="495ECA50">
      <w:pPr>
        <w:spacing w:line="360" w:lineRule="auto"/>
        <w:ind w:right="210" w:rightChars="100" w:firstLine="480" w:firstLineChars="200"/>
        <w:outlineLvl w:val="3"/>
        <w:rPr>
          <w:rFonts w:hint="eastAsia" w:ascii="宋体" w:hAnsi="宋体" w:eastAsia="宋体" w:cs="宋体"/>
          <w:color w:val="000000"/>
          <w:sz w:val="24"/>
          <w:szCs w:val="24"/>
        </w:rPr>
      </w:pPr>
      <w:r>
        <w:rPr>
          <w:rFonts w:hint="eastAsia" w:ascii="宋体" w:hAnsi="宋体" w:eastAsia="宋体" w:cs="宋体"/>
          <w:color w:val="000000"/>
          <w:sz w:val="24"/>
          <w:szCs w:val="24"/>
        </w:rPr>
        <w:t>2.1.2售后服务体系</w:t>
      </w:r>
    </w:p>
    <w:p w14:paraId="18DBE188">
      <w:pPr>
        <w:spacing w:line="360" w:lineRule="auto"/>
        <w:ind w:firstLine="480" w:firstLineChars="200"/>
        <w:jc w:val="left"/>
        <w:outlineLvl w:val="0"/>
        <w:rPr>
          <w:rFonts w:hint="eastAsia" w:ascii="宋体" w:hAnsi="宋体" w:eastAsia="宋体" w:cs="宋体"/>
          <w:color w:val="000000"/>
          <w:sz w:val="24"/>
          <w:szCs w:val="24"/>
        </w:rPr>
      </w:pPr>
      <w:bookmarkStart w:id="16" w:name="_Toc4492"/>
      <w:r>
        <w:rPr>
          <w:rFonts w:hint="eastAsia" w:ascii="宋体" w:hAnsi="宋体" w:eastAsia="宋体" w:cs="宋体"/>
          <w:color w:val="000000"/>
          <w:sz w:val="24"/>
          <w:szCs w:val="24"/>
        </w:rPr>
        <w:t>质保期内服务</w:t>
      </w:r>
      <w:bookmarkEnd w:id="16"/>
    </w:p>
    <w:p w14:paraId="1833057B">
      <w:pPr>
        <w:spacing w:line="360" w:lineRule="auto"/>
        <w:ind w:firstLine="480" w:firstLineChars="200"/>
        <w:jc w:val="left"/>
        <w:outlineLvl w:val="0"/>
        <w:rPr>
          <w:rFonts w:hint="eastAsia" w:ascii="宋体" w:hAnsi="宋体" w:eastAsia="宋体" w:cs="宋体"/>
          <w:color w:val="000000"/>
          <w:sz w:val="24"/>
          <w:szCs w:val="24"/>
        </w:rPr>
      </w:pPr>
      <w:bookmarkStart w:id="17" w:name="_Toc3772"/>
      <w:r>
        <w:rPr>
          <w:rFonts w:hint="eastAsia" w:ascii="宋体" w:hAnsi="宋体" w:eastAsia="宋体" w:cs="宋体"/>
          <w:color w:val="000000"/>
          <w:sz w:val="24"/>
          <w:szCs w:val="24"/>
        </w:rPr>
        <w:t>质保期外服务</w:t>
      </w:r>
      <w:bookmarkEnd w:id="17"/>
    </w:p>
    <w:p w14:paraId="1AF35A48">
      <w:pPr>
        <w:spacing w:line="360" w:lineRule="auto"/>
        <w:ind w:right="210" w:rightChars="100" w:firstLine="480" w:firstLineChars="200"/>
        <w:outlineLvl w:val="3"/>
        <w:rPr>
          <w:rFonts w:hint="eastAsia" w:ascii="宋体" w:hAnsi="宋体" w:eastAsia="宋体" w:cs="宋体"/>
          <w:color w:val="000000"/>
          <w:sz w:val="24"/>
          <w:szCs w:val="24"/>
        </w:rPr>
      </w:pPr>
      <w:r>
        <w:rPr>
          <w:rFonts w:hint="eastAsia" w:ascii="宋体" w:hAnsi="宋体" w:eastAsia="宋体" w:cs="宋体"/>
          <w:color w:val="000000"/>
          <w:sz w:val="24"/>
          <w:szCs w:val="24"/>
        </w:rPr>
        <w:t>2.1.3故障响应时间</w:t>
      </w:r>
    </w:p>
    <w:p w14:paraId="4D90850C">
      <w:pPr>
        <w:spacing w:line="360" w:lineRule="auto"/>
        <w:ind w:right="210" w:rightChars="100" w:firstLine="480" w:firstLineChars="200"/>
        <w:outlineLvl w:val="3"/>
        <w:rPr>
          <w:rFonts w:hint="eastAsia" w:ascii="宋体" w:hAnsi="宋体" w:eastAsia="宋体" w:cs="宋体"/>
          <w:color w:val="000000"/>
          <w:sz w:val="24"/>
          <w:szCs w:val="24"/>
        </w:rPr>
      </w:pPr>
      <w:r>
        <w:rPr>
          <w:rFonts w:hint="eastAsia" w:ascii="宋体" w:hAnsi="宋体" w:eastAsia="宋体" w:cs="宋体"/>
          <w:color w:val="000000"/>
          <w:sz w:val="24"/>
          <w:szCs w:val="24"/>
        </w:rPr>
        <w:t>2.1.4应急维修措施</w:t>
      </w:r>
      <w:bookmarkStart w:id="18" w:name="_Toc373263360"/>
      <w:bookmarkStart w:id="19" w:name="_Toc390373055"/>
      <w:bookmarkStart w:id="20" w:name="_Toc390360559"/>
    </w:p>
    <w:p w14:paraId="5ACE1F15">
      <w:pPr>
        <w:spacing w:line="360" w:lineRule="auto"/>
        <w:ind w:right="210" w:rightChars="100" w:firstLine="480" w:firstLineChars="200"/>
        <w:outlineLvl w:val="3"/>
        <w:rPr>
          <w:rFonts w:hint="eastAsia" w:ascii="宋体" w:hAnsi="宋体" w:eastAsia="宋体" w:cs="宋体"/>
          <w:color w:val="000000"/>
          <w:sz w:val="24"/>
          <w:szCs w:val="24"/>
        </w:rPr>
      </w:pPr>
      <w:r>
        <w:rPr>
          <w:rFonts w:hint="eastAsia" w:ascii="宋体" w:hAnsi="宋体" w:eastAsia="宋体" w:cs="宋体"/>
          <w:color w:val="000000"/>
          <w:sz w:val="24"/>
          <w:szCs w:val="24"/>
        </w:rPr>
        <w:t>2.1.5易损件、备件的供应</w:t>
      </w:r>
    </w:p>
    <w:p w14:paraId="1AD6CD12">
      <w:pPr>
        <w:spacing w:line="360" w:lineRule="auto"/>
        <w:ind w:right="210" w:rightChars="100" w:firstLine="480" w:firstLineChars="200"/>
        <w:outlineLvl w:val="3"/>
        <w:rPr>
          <w:rFonts w:hint="eastAsia" w:ascii="宋体" w:hAnsi="宋体" w:eastAsia="宋体" w:cs="宋体"/>
          <w:color w:val="000000"/>
          <w:sz w:val="24"/>
          <w:szCs w:val="24"/>
        </w:rPr>
      </w:pPr>
      <w:r>
        <w:rPr>
          <w:rFonts w:hint="eastAsia" w:ascii="宋体" w:hAnsi="宋体" w:eastAsia="宋体" w:cs="宋体"/>
          <w:color w:val="000000"/>
          <w:sz w:val="24"/>
          <w:szCs w:val="24"/>
        </w:rPr>
        <w:t>2.1.6质保期以外技术支持或技术服务</w:t>
      </w:r>
    </w:p>
    <w:p w14:paraId="1E9CDDD8">
      <w:pPr>
        <w:spacing w:line="360" w:lineRule="auto"/>
        <w:ind w:right="210" w:rightChars="100" w:firstLine="480" w:firstLineChars="200"/>
        <w:outlineLvl w:val="3"/>
        <w:rPr>
          <w:rFonts w:hint="eastAsia" w:ascii="宋体" w:hAnsi="宋体" w:eastAsia="宋体" w:cs="宋体"/>
          <w:color w:val="000000"/>
          <w:sz w:val="24"/>
          <w:szCs w:val="24"/>
        </w:rPr>
      </w:pPr>
      <w:r>
        <w:rPr>
          <w:rFonts w:hint="eastAsia" w:ascii="宋体" w:hAnsi="宋体" w:eastAsia="宋体" w:cs="宋体"/>
          <w:color w:val="000000"/>
          <w:sz w:val="24"/>
          <w:szCs w:val="24"/>
        </w:rPr>
        <w:t>2.1.7制定切实可行的操作规程和使用指南</w:t>
      </w:r>
    </w:p>
    <w:p w14:paraId="2489DCC3">
      <w:pPr>
        <w:spacing w:line="360" w:lineRule="auto"/>
        <w:ind w:right="210" w:rightChars="100" w:firstLine="480" w:firstLineChars="200"/>
        <w:outlineLvl w:val="3"/>
        <w:rPr>
          <w:rFonts w:hint="eastAsia" w:ascii="宋体" w:hAnsi="宋体" w:eastAsia="宋体" w:cs="宋体"/>
          <w:color w:val="000000"/>
          <w:sz w:val="24"/>
          <w:szCs w:val="24"/>
        </w:rPr>
      </w:pPr>
    </w:p>
    <w:p w14:paraId="52FE2F12">
      <w:pPr>
        <w:spacing w:line="360" w:lineRule="auto"/>
        <w:ind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3.培训服务内容</w:t>
      </w:r>
    </w:p>
    <w:p w14:paraId="4D498E44">
      <w:pPr>
        <w:spacing w:line="360" w:lineRule="auto"/>
        <w:ind w:right="210" w:rightChars="100" w:firstLine="482" w:firstLineChars="200"/>
        <w:outlineLvl w:val="3"/>
        <w:rPr>
          <w:rFonts w:hint="eastAsia" w:ascii="宋体" w:hAnsi="宋体" w:eastAsia="宋体" w:cs="宋体"/>
          <w:b/>
          <w:color w:val="000000"/>
          <w:sz w:val="24"/>
          <w:szCs w:val="24"/>
        </w:rPr>
      </w:pPr>
      <w:r>
        <w:rPr>
          <w:rFonts w:hint="eastAsia" w:ascii="宋体" w:hAnsi="宋体" w:eastAsia="宋体" w:cs="宋体"/>
          <w:b/>
          <w:color w:val="000000"/>
          <w:sz w:val="24"/>
          <w:szCs w:val="24"/>
        </w:rPr>
        <w:t>3.1培训方案</w:t>
      </w:r>
    </w:p>
    <w:p w14:paraId="77B2D516">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培训目标和要求</w:t>
      </w:r>
    </w:p>
    <w:p w14:paraId="40D1D72F">
      <w:pPr>
        <w:spacing w:line="360" w:lineRule="auto"/>
        <w:ind w:firstLine="482" w:firstLineChars="200"/>
        <w:jc w:val="left"/>
        <w:rPr>
          <w:rFonts w:hint="eastAsia" w:ascii="宋体" w:hAnsi="宋体" w:eastAsia="宋体" w:cs="宋体"/>
          <w:b/>
          <w:color w:val="000000"/>
          <w:sz w:val="24"/>
          <w:szCs w:val="24"/>
        </w:rPr>
      </w:pPr>
      <w:r>
        <w:rPr>
          <w:rFonts w:hint="eastAsia" w:ascii="宋体" w:hAnsi="宋体" w:eastAsia="宋体" w:cs="宋体"/>
          <w:b/>
          <w:color w:val="000000"/>
          <w:sz w:val="24"/>
          <w:szCs w:val="24"/>
        </w:rPr>
        <w:t>3.2培训对象</w:t>
      </w:r>
    </w:p>
    <w:p w14:paraId="64F14017">
      <w:pPr>
        <w:spacing w:line="360" w:lineRule="auto"/>
        <w:ind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3.3培训方式</w:t>
      </w:r>
    </w:p>
    <w:p w14:paraId="208CE6C3">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3.3.1系统使用培训：</w:t>
      </w:r>
    </w:p>
    <w:p w14:paraId="28CE5B31">
      <w:pPr>
        <w:spacing w:line="360" w:lineRule="auto"/>
        <w:ind w:firstLine="480" w:firstLineChars="200"/>
        <w:rPr>
          <w:rFonts w:hint="eastAsia" w:ascii="宋体" w:hAnsi="宋体" w:eastAsia="宋体" w:cs="宋体"/>
          <w:bCs/>
          <w:color w:val="000000"/>
          <w:sz w:val="24"/>
          <w:szCs w:val="24"/>
        </w:rPr>
      </w:pPr>
      <w:r>
        <w:rPr>
          <w:rFonts w:hint="eastAsia" w:ascii="宋体" w:hAnsi="宋体" w:eastAsia="宋体" w:cs="宋体"/>
          <w:bCs/>
          <w:color w:val="000000"/>
          <w:sz w:val="24"/>
          <w:szCs w:val="24"/>
        </w:rPr>
        <w:t>3.3.2培训课程及培训人数：</w:t>
      </w:r>
    </w:p>
    <w:p w14:paraId="5C09F45D">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3.3.3培训教师安排</w:t>
      </w:r>
    </w:p>
    <w:p w14:paraId="49B25CDD">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3.3.4培训时间安排</w:t>
      </w:r>
    </w:p>
    <w:p w14:paraId="2CE84F45">
      <w:pPr>
        <w:spacing w:line="360" w:lineRule="auto"/>
        <w:ind w:firstLine="480" w:firstLineChars="200"/>
        <w:outlineLvl w:val="1"/>
        <w:rPr>
          <w:rFonts w:hint="eastAsia" w:ascii="宋体" w:hAnsi="宋体" w:eastAsia="宋体" w:cs="宋体"/>
          <w:color w:val="000000"/>
          <w:sz w:val="24"/>
          <w:szCs w:val="24"/>
        </w:rPr>
      </w:pPr>
      <w:bookmarkStart w:id="21" w:name="_Toc23713"/>
      <w:r>
        <w:rPr>
          <w:rFonts w:hint="eastAsia" w:ascii="宋体" w:hAnsi="宋体" w:eastAsia="宋体" w:cs="宋体"/>
          <w:color w:val="000000"/>
          <w:sz w:val="24"/>
          <w:szCs w:val="24"/>
        </w:rPr>
        <w:t>3.3.5培训及安全保证</w:t>
      </w:r>
      <w:bookmarkEnd w:id="21"/>
    </w:p>
    <w:p w14:paraId="6BE5D5C8">
      <w:pPr>
        <w:pStyle w:val="7"/>
        <w:spacing w:line="360" w:lineRule="auto"/>
        <w:rPr>
          <w:rFonts w:hint="eastAsia" w:ascii="宋体" w:hAnsi="宋体" w:eastAsia="宋体" w:cs="宋体"/>
          <w:snapToGrid w:val="0"/>
          <w:color w:val="000000"/>
          <w:sz w:val="24"/>
          <w:szCs w:val="24"/>
        </w:rPr>
      </w:pPr>
      <w:r>
        <w:rPr>
          <w:rFonts w:hint="eastAsia" w:ascii="宋体" w:hAnsi="宋体" w:eastAsia="宋体" w:cs="宋体"/>
          <w:snapToGrid w:val="0"/>
          <w:color w:val="000000"/>
          <w:sz w:val="24"/>
          <w:szCs w:val="24"/>
        </w:rPr>
        <w:t>① 为使操作人员尽快消化设备的技术特点、掌握操作方法，乙方应制订完善的培训计划，安排经验丰富技术人员，在设备安装的后期进行操作人员的培训。培训形式主要为现场培训。通过培训，使受训人员能对设备全面了解，掌握日常控制过程，有能力处理一般故障和进行日常维护，提高设备的使用质量，并消除设备因使用或操作不当而引起的故障，减少突发故障的发生，从而保证设备长期稳定的运行。</w:t>
      </w:r>
    </w:p>
    <w:p w14:paraId="3027FAA5">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② 设备本体对可能造成伤害的部位均应采用防护板或防护网隔离并有醒目警示。</w:t>
      </w:r>
    </w:p>
    <w:p w14:paraId="7F38D6FA">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③ 所用电气元件均按照国标选配，确保稳定安全，符合三防要求。</w:t>
      </w:r>
    </w:p>
    <w:bookmarkEnd w:id="18"/>
    <w:bookmarkEnd w:id="19"/>
    <w:bookmarkEnd w:id="20"/>
    <w:p w14:paraId="6655BBE3">
      <w:pPr>
        <w:spacing w:line="440" w:lineRule="exact"/>
        <w:ind w:right="210" w:rightChars="100" w:firstLine="480" w:firstLineChars="200"/>
        <w:outlineLvl w:val="3"/>
        <w:rPr>
          <w:rFonts w:hint="eastAsia" w:ascii="宋体" w:hAnsi="宋体" w:eastAsia="宋体" w:cs="宋体"/>
          <w:color w:val="000000"/>
          <w:sz w:val="24"/>
          <w:szCs w:val="24"/>
        </w:rPr>
      </w:pPr>
    </w:p>
    <w:p w14:paraId="47D9ED40">
      <w:pPr>
        <w:spacing w:line="440" w:lineRule="exact"/>
        <w:jc w:val="left"/>
        <w:outlineLvl w:val="0"/>
        <w:rPr>
          <w:rFonts w:hint="eastAsia" w:ascii="宋体" w:hAnsi="宋体" w:eastAsia="宋体" w:cs="宋体"/>
          <w:color w:val="000000"/>
          <w:sz w:val="24"/>
          <w:szCs w:val="24"/>
        </w:rPr>
      </w:pPr>
    </w:p>
    <w:p w14:paraId="149E31D3">
      <w:pPr>
        <w:spacing w:line="440" w:lineRule="exact"/>
        <w:rPr>
          <w:rFonts w:hint="eastAsia" w:ascii="宋体" w:hAnsi="宋体" w:eastAsia="宋体" w:cs="宋体"/>
          <w:b/>
          <w:color w:val="000000"/>
          <w:sz w:val="24"/>
          <w:szCs w:val="24"/>
        </w:rPr>
      </w:pPr>
    </w:p>
    <w:p w14:paraId="729F1B0C">
      <w:pPr>
        <w:spacing w:line="440" w:lineRule="exact"/>
        <w:rPr>
          <w:rFonts w:hint="eastAsia" w:ascii="宋体" w:hAnsi="宋体" w:eastAsia="宋体" w:cs="宋体"/>
          <w:b/>
          <w:color w:val="000000"/>
          <w:sz w:val="24"/>
          <w:szCs w:val="24"/>
        </w:rPr>
      </w:pPr>
      <w:bookmarkStart w:id="22" w:name="_Toc345966650"/>
      <w:bookmarkStart w:id="23" w:name="_Toc345966825"/>
      <w:bookmarkStart w:id="24" w:name="_Toc346025578"/>
    </w:p>
    <w:p w14:paraId="4912F45A">
      <w:pPr>
        <w:pStyle w:val="12"/>
        <w:numPr>
          <w:ilvl w:val="1"/>
          <w:numId w:val="1"/>
        </w:numPr>
        <w:spacing w:line="440" w:lineRule="exact"/>
        <w:ind w:left="0" w:firstLine="0"/>
        <w:rPr>
          <w:rFonts w:hint="eastAsia" w:ascii="宋体" w:hAnsi="宋体" w:cs="宋体"/>
          <w:b/>
          <w:vanish/>
          <w:color w:val="000000"/>
          <w:sz w:val="24"/>
          <w:szCs w:val="24"/>
        </w:rPr>
      </w:pPr>
    </w:p>
    <w:p w14:paraId="5B8E3E1B">
      <w:pPr>
        <w:pStyle w:val="12"/>
        <w:numPr>
          <w:ilvl w:val="1"/>
          <w:numId w:val="1"/>
        </w:numPr>
        <w:spacing w:line="440" w:lineRule="exact"/>
        <w:ind w:left="0" w:firstLine="0"/>
        <w:rPr>
          <w:rFonts w:hint="eastAsia" w:ascii="宋体" w:hAnsi="宋体" w:cs="宋体"/>
          <w:b/>
          <w:vanish/>
          <w:color w:val="000000"/>
          <w:sz w:val="24"/>
          <w:szCs w:val="24"/>
        </w:rPr>
      </w:pPr>
    </w:p>
    <w:p w14:paraId="0BBB7866">
      <w:pPr>
        <w:pStyle w:val="12"/>
        <w:numPr>
          <w:ilvl w:val="1"/>
          <w:numId w:val="1"/>
        </w:numPr>
        <w:spacing w:line="440" w:lineRule="exact"/>
        <w:ind w:left="0" w:firstLine="0"/>
        <w:rPr>
          <w:rFonts w:hint="eastAsia" w:ascii="宋体" w:hAnsi="宋体" w:cs="宋体"/>
          <w:b/>
          <w:vanish/>
          <w:color w:val="000000"/>
          <w:sz w:val="24"/>
          <w:szCs w:val="24"/>
        </w:rPr>
      </w:pPr>
    </w:p>
    <w:p w14:paraId="232730E4">
      <w:pPr>
        <w:pStyle w:val="12"/>
        <w:numPr>
          <w:ilvl w:val="1"/>
          <w:numId w:val="1"/>
        </w:numPr>
        <w:spacing w:line="440" w:lineRule="exact"/>
        <w:ind w:left="0" w:firstLine="0"/>
        <w:rPr>
          <w:rFonts w:hint="eastAsia" w:ascii="宋体" w:hAnsi="宋体" w:cs="宋体"/>
          <w:b/>
          <w:vanish/>
          <w:color w:val="000000"/>
          <w:sz w:val="24"/>
          <w:szCs w:val="24"/>
        </w:rPr>
      </w:pPr>
    </w:p>
    <w:bookmarkEnd w:id="22"/>
    <w:bookmarkEnd w:id="23"/>
    <w:bookmarkEnd w:id="24"/>
    <w:p w14:paraId="171EABCF">
      <w:pPr>
        <w:spacing w:line="440" w:lineRule="exact"/>
        <w:rPr>
          <w:rFonts w:hint="eastAsia" w:ascii="宋体" w:hAnsi="宋体" w:eastAsia="宋体" w:cs="宋体"/>
          <w:color w:val="000000"/>
          <w:sz w:val="24"/>
          <w:szCs w:val="24"/>
        </w:rPr>
      </w:pPr>
    </w:p>
    <w:p w14:paraId="75DC48CE">
      <w:pPr>
        <w:spacing w:line="440" w:lineRule="exact"/>
        <w:ind w:firstLine="480" w:firstLineChars="200"/>
        <w:rPr>
          <w:rFonts w:hint="eastAsia" w:ascii="宋体" w:hAnsi="宋体" w:eastAsia="宋体" w:cs="宋体"/>
          <w:color w:val="000000"/>
          <w:sz w:val="24"/>
          <w:szCs w:val="24"/>
        </w:rPr>
      </w:pPr>
    </w:p>
    <w:p w14:paraId="593449F2">
      <w:pPr>
        <w:widowControl/>
        <w:spacing w:before="100" w:beforeAutospacing="1" w:after="100" w:afterAutospacing="1" w:line="320" w:lineRule="exact"/>
        <w:rPr>
          <w:rFonts w:hint="eastAsia" w:ascii="宋体" w:hAnsi="宋体" w:eastAsia="宋体" w:cs="宋体"/>
          <w:b/>
          <w:color w:val="000000"/>
          <w:sz w:val="24"/>
          <w:szCs w:val="24"/>
        </w:rPr>
      </w:pPr>
      <w:r>
        <w:rPr>
          <w:rFonts w:hint="eastAsia" w:ascii="宋体" w:hAnsi="宋体" w:eastAsia="宋体" w:cs="宋体"/>
          <w:b/>
          <w:color w:val="000000"/>
          <w:sz w:val="24"/>
          <w:szCs w:val="24"/>
        </w:rPr>
        <w:t>甲方使用单位：西安建筑科技大学XX学院</w:t>
      </w:r>
      <w:r>
        <w:rPr>
          <w:rFonts w:hint="eastAsia" w:ascii="宋体" w:hAnsi="宋体" w:eastAsia="宋体" w:cs="宋体"/>
          <w:b/>
          <w:color w:val="000000"/>
          <w:sz w:val="24"/>
          <w:szCs w:val="24"/>
        </w:rPr>
        <w:tab/>
      </w:r>
      <w:r>
        <w:rPr>
          <w:rFonts w:hint="eastAsia" w:ascii="宋体" w:hAnsi="宋体" w:eastAsia="宋体" w:cs="宋体"/>
          <w:b/>
          <w:color w:val="000000"/>
          <w:sz w:val="24"/>
          <w:szCs w:val="24"/>
        </w:rPr>
        <w:t xml:space="preserve">          乙方： </w:t>
      </w:r>
    </w:p>
    <w:p w14:paraId="735AA5CB">
      <w:pPr>
        <w:rPr>
          <w:rFonts w:hint="eastAsia" w:ascii="宋体" w:hAnsi="宋体" w:eastAsia="宋体" w:cs="宋体"/>
          <w:b/>
          <w:color w:val="000000"/>
          <w:sz w:val="24"/>
          <w:szCs w:val="24"/>
        </w:rPr>
      </w:pPr>
    </w:p>
    <w:p w14:paraId="247D6D70">
      <w:pPr>
        <w:rPr>
          <w:rFonts w:hint="eastAsia" w:ascii="宋体" w:hAnsi="宋体" w:eastAsia="宋体" w:cs="宋体"/>
          <w:b/>
          <w:color w:val="000000"/>
          <w:sz w:val="24"/>
          <w:szCs w:val="24"/>
        </w:rPr>
      </w:pPr>
      <w:r>
        <w:rPr>
          <w:rFonts w:hint="eastAsia" w:ascii="宋体" w:hAnsi="宋体" w:eastAsia="宋体" w:cs="宋体"/>
          <w:b/>
          <w:color w:val="000000"/>
          <w:sz w:val="24"/>
          <w:szCs w:val="24"/>
        </w:rPr>
        <w:t>负责人：                                        负责人：</w:t>
      </w:r>
    </w:p>
    <w:p w14:paraId="7B2A035D">
      <w:pPr>
        <w:rPr>
          <w:rFonts w:hint="eastAsia" w:ascii="宋体" w:hAnsi="宋体" w:eastAsia="宋体" w:cs="宋体"/>
          <w:b/>
          <w:color w:val="000000"/>
          <w:sz w:val="24"/>
          <w:szCs w:val="24"/>
        </w:rPr>
      </w:pPr>
    </w:p>
    <w:p w14:paraId="1A82905B">
      <w:pPr>
        <w:rPr>
          <w:sz w:val="24"/>
          <w:szCs w:val="24"/>
        </w:rPr>
      </w:pP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9F0B70">
    <w:pPr>
      <w:pStyle w:val="6"/>
    </w:pPr>
    <w:r>
      <mc:AlternateContent>
        <mc:Choice Requires="wps">
          <w:drawing>
            <wp:anchor distT="0" distB="0" distL="114300" distR="114300" simplePos="0" relativeHeight="251659264" behindDoc="0" locked="0" layoutInCell="1" allowOverlap="1">
              <wp:simplePos x="0" y="0"/>
              <wp:positionH relativeFrom="margin">
                <wp:posOffset>2438400</wp:posOffset>
              </wp:positionH>
              <wp:positionV relativeFrom="paragraph">
                <wp:posOffset>2540</wp:posOffset>
              </wp:positionV>
              <wp:extent cx="809625" cy="200025"/>
              <wp:effectExtent l="0" t="0" r="0" b="0"/>
              <wp:wrapNone/>
              <wp:docPr id="2" name="文本框 2"/>
              <wp:cNvGraphicFramePr/>
              <a:graphic xmlns:a="http://schemas.openxmlformats.org/drawingml/2006/main">
                <a:graphicData uri="http://schemas.microsoft.com/office/word/2010/wordprocessingShape">
                  <wps:wsp>
                    <wps:cNvSpPr txBox="1"/>
                    <wps:spPr>
                      <a:xfrm>
                        <a:off x="0" y="0"/>
                        <a:ext cx="809625" cy="2000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716009">
                          <w:pPr>
                            <w:pStyle w:val="6"/>
                            <w:rPr>
                              <w:rFonts w:hint="eastAsia" w:ascii="宋体" w:hAnsi="宋体" w:eastAsia="宋体" w:cs="宋体"/>
                            </w:rPr>
                          </w:pPr>
                          <w:r>
                            <w:rPr>
                              <w:rFonts w:hint="eastAsia" w:ascii="宋体" w:hAnsi="宋体" w:eastAsia="宋体" w:cs="宋体"/>
                            </w:rPr>
                            <w:t xml:space="preserve">第 </w:t>
                          </w: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t xml:space="preserve"> 页</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192pt;margin-top:0.2pt;height:15.75pt;width:63.75pt;mso-position-horizontal-relative:margin;z-index:251659264;mso-width-relative:page;mso-height-relative:page;" filled="f" stroked="f" coordsize="21600,21600" o:gfxdata="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o4GeLdYAAAAHAQAADwAAAAAAAAABACAAAAAiAAAAZHJzL2Rvd25yZXYueG1sUEsB&#10;AhQAFAAAAAgAh07iQONQDXowAgAAVQQAAA4AAAAAAAAAAQAgAAAAJQEAAGRycy9lMm9Eb2MueG1s&#10;UEsFBgAAAAAGAAYAWQEAAMcFAAAAAA==&#10;">
              <v:fill on="f" focussize="0,0"/>
              <v:stroke on="f" weight="0.5pt"/>
              <v:imagedata o:title=""/>
              <o:lock v:ext="edit" aspectratio="f"/>
              <v:textbox inset="0mm,0mm,0mm,0mm">
                <w:txbxContent>
                  <w:p w14:paraId="6D716009">
                    <w:pPr>
                      <w:pStyle w:val="6"/>
                      <w:rPr>
                        <w:rFonts w:hint="eastAsia" w:ascii="宋体" w:hAnsi="宋体" w:eastAsia="宋体" w:cs="宋体"/>
                      </w:rPr>
                    </w:pPr>
                    <w:r>
                      <w:rPr>
                        <w:rFonts w:hint="eastAsia" w:ascii="宋体" w:hAnsi="宋体" w:eastAsia="宋体" w:cs="宋体"/>
                      </w:rPr>
                      <w:t xml:space="preserve">第 </w:t>
                    </w: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7B445B"/>
    <w:multiLevelType w:val="multilevel"/>
    <w:tmpl w:val="207B445B"/>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AD6A82"/>
    <w:rsid w:val="00EA40E8"/>
    <w:rsid w:val="097C1554"/>
    <w:rsid w:val="142474B9"/>
    <w:rsid w:val="145853B5"/>
    <w:rsid w:val="270429F9"/>
    <w:rsid w:val="4779309D"/>
    <w:rsid w:val="49AD6A82"/>
    <w:rsid w:val="4C39104D"/>
    <w:rsid w:val="4D40640B"/>
    <w:rsid w:val="5032028D"/>
    <w:rsid w:val="50FE2392"/>
    <w:rsid w:val="58006EC2"/>
    <w:rsid w:val="5C20110F"/>
    <w:rsid w:val="6454481E"/>
    <w:rsid w:val="752B5127"/>
    <w:rsid w:val="7E9E37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unhideWhenUsed/>
    <w:qFormat/>
    <w:uiPriority w:val="0"/>
    <w:pPr>
      <w:spacing w:beforeAutospacing="1" w:afterAutospacing="1"/>
      <w:jc w:val="left"/>
      <w:outlineLvl w:val="3"/>
    </w:pPr>
    <w:rPr>
      <w:rFonts w:hint="eastAsia" w:ascii="宋体" w:hAnsi="宋体" w:eastAsia="宋体" w:cs="Times New Roman"/>
      <w:b/>
      <w:bCs/>
      <w:kern w:val="0"/>
      <w:sz w:val="2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widowControl/>
      <w:kinsoku w:val="0"/>
      <w:autoSpaceDE w:val="0"/>
      <w:autoSpaceDN w:val="0"/>
      <w:adjustRightInd w:val="0"/>
      <w:snapToGrid w:val="0"/>
      <w:jc w:val="left"/>
      <w:textAlignment w:val="baseline"/>
    </w:pPr>
    <w:rPr>
      <w:rFonts w:ascii="Arial" w:hAnsi="Arial" w:eastAsia="Arial" w:cs="Arial"/>
      <w:snapToGrid w:val="0"/>
      <w:color w:val="000000"/>
      <w:kern w:val="0"/>
      <w:szCs w:val="21"/>
      <w:lang w:eastAsia="en-US"/>
    </w:rPr>
  </w:style>
  <w:style w:type="paragraph" w:styleId="4">
    <w:name w:val="Body Text Indent"/>
    <w:basedOn w:val="1"/>
    <w:qFormat/>
    <w:uiPriority w:val="0"/>
    <w:pPr>
      <w:spacing w:line="640" w:lineRule="exact"/>
      <w:ind w:firstLine="585"/>
    </w:pPr>
    <w:rPr>
      <w:rFonts w:ascii="楷体_GB2312" w:eastAsia="楷体_GB2312"/>
      <w:sz w:val="32"/>
    </w:rPr>
  </w:style>
  <w:style w:type="paragraph" w:styleId="5">
    <w:name w:val="Body Text Indent 2"/>
    <w:basedOn w:val="1"/>
    <w:qFormat/>
    <w:uiPriority w:val="0"/>
    <w:pPr>
      <w:spacing w:after="120" w:line="480" w:lineRule="auto"/>
      <w:ind w:left="420" w:leftChars="200"/>
    </w:pPr>
    <w:rPr>
      <w:rFonts w:ascii="Times New Roman" w:hAnsi="Times New Roman" w:eastAsia="宋体" w:cs="Times New Roman"/>
    </w:rPr>
  </w:style>
  <w:style w:type="paragraph" w:styleId="6">
    <w:name w:val="footer"/>
    <w:basedOn w:val="1"/>
    <w:next w:val="3"/>
    <w:qFormat/>
    <w:uiPriority w:val="0"/>
    <w:pPr>
      <w:tabs>
        <w:tab w:val="center" w:pos="4153"/>
        <w:tab w:val="right" w:pos="8306"/>
      </w:tabs>
      <w:snapToGrid w:val="0"/>
      <w:jc w:val="left"/>
    </w:pPr>
    <w:rPr>
      <w:sz w:val="18"/>
      <w:szCs w:val="18"/>
    </w:rPr>
  </w:style>
  <w:style w:type="paragraph" w:styleId="7">
    <w:name w:val="Body Text First Indent 2"/>
    <w:basedOn w:val="4"/>
    <w:qFormat/>
    <w:uiPriority w:val="0"/>
    <w:pPr>
      <w:ind w:firstLine="420" w:firstLineChars="200"/>
    </w:pPr>
  </w:style>
  <w:style w:type="character" w:styleId="10">
    <w:name w:val="Strong"/>
    <w:basedOn w:val="9"/>
    <w:qFormat/>
    <w:uiPriority w:val="22"/>
    <w:rPr>
      <w:b/>
    </w:rPr>
  </w:style>
  <w:style w:type="paragraph" w:customStyle="1" w:styleId="11">
    <w:name w:val="null3"/>
    <w:hidden/>
    <w:qFormat/>
    <w:uiPriority w:val="0"/>
    <w:rPr>
      <w:rFonts w:hint="eastAsia" w:asciiTheme="minorHAnsi" w:hAnsiTheme="minorHAnsi" w:eastAsiaTheme="minorEastAsia" w:cstheme="minorBidi"/>
      <w:lang w:val="en-US" w:eastAsia="zh-Hans" w:bidi="ar-SA"/>
    </w:rPr>
  </w:style>
  <w:style w:type="paragraph" w:styleId="12">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5594</Words>
  <Characters>5935</Characters>
  <Lines>0</Lines>
  <Paragraphs>0</Paragraphs>
  <TotalTime>0</TotalTime>
  <ScaleCrop>false</ScaleCrop>
  <LinksUpToDate>false</LinksUpToDate>
  <CharactersWithSpaces>6120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2026-05-18T09:53:00Z</dcterms:created>
  <dc:creator>温虎</dc:creator>
  <cp:lastModifiedBy>温虎</cp:lastModifiedBy>
  <dcterms:modified xsi:type="dcterms:W3CDTF">2026-08-21T07:01:39Z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BFD0B78A68524A55810B74960815062C_11</vt:lpwstr>
  </property>
  <property fmtid="{D5CDD505-2E9C-101B-9397-08002B2CF9AE}" pid="4" name="KSOTemplateDocerSaveRecord">
    <vt:lpwstr>eyJoZGlkIjoiZjhiODgzOTQwNTFmNmM5NDJmNzVjYmFiNWU0ZThkMGUiLCJ1c2VySWQiOiIzMjA5MTY3MTYifQ==</vt:lpwstr>
  </property>
</Properties>
</file>