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版本号：HXCT-2026-022号20260717002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蓝田县白鹿原文化村道路工程施工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HXCT-2026-022号</w:t>
      </w:r>
      <w:r>
        <w:br/>
      </w:r>
      <w:r>
        <w:br/>
      </w:r>
      <w:r>
        <w:br/>
      </w:r>
    </w:p>
    <w:p>
      <w:pPr>
        <w:pStyle w:val="null3"/>
        <w:jc w:val="center"/>
        <w:outlineLvl w:val="2"/>
      </w:pPr>
      <w:r>
        <w:rPr>
          <w:rFonts w:ascii="仿宋_GB2312" w:hAnsi="仿宋_GB2312" w:cs="仿宋_GB2312" w:eastAsia="仿宋_GB2312"/>
          <w:sz w:val="28"/>
          <w:b/>
        </w:rPr>
        <w:t>西安市蓝田县交通运输局（本级）</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西安市蓝田县交通运输局（本级）</w:t>
      </w:r>
      <w:r>
        <w:rPr>
          <w:rFonts w:ascii="仿宋_GB2312" w:hAnsi="仿宋_GB2312" w:cs="仿宋_GB2312" w:eastAsia="仿宋_GB2312"/>
        </w:rPr>
        <w:t>委托，拟对</w:t>
      </w:r>
      <w:r>
        <w:rPr>
          <w:rFonts w:ascii="仿宋_GB2312" w:hAnsi="仿宋_GB2312" w:cs="仿宋_GB2312" w:eastAsia="仿宋_GB2312"/>
        </w:rPr>
        <w:t>蓝田县白鹿原文化村道路工程施工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HXCT-2026-022号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蓝田县白鹿原文化村道路工程施工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路线起点接蓝田印象道路，利用现状施工便道自东向西布线，于文化村内部道路平交后，向北沿现状3m内部道路布线，终点接信马川住宅区入口，路线全长0.315km。依据建设要求及项目实际情况，本项目采用小交通量农村公路四级公路(1类)技术标准，设计速度15km/h，路基宽6.5m，路面宽度6.0m。本次招标内容包含路基、路面、标志牌、标线、边沟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采购包1（蓝田县白鹿原文化村道路工程施工）：属于专门面向中小企业采购。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2、资质证书：供应商应具备公路工程施工总承包三级以上(含三级)资质，并具备有效的安全生产许可证</w:t>
      </w:r>
    </w:p>
    <w:p>
      <w:pPr>
        <w:pStyle w:val="null3"/>
      </w:pPr>
      <w:r>
        <w:rPr>
          <w:rFonts w:ascii="仿宋_GB2312" w:hAnsi="仿宋_GB2312" w:cs="仿宋_GB2312" w:eastAsia="仿宋_GB2312"/>
        </w:rPr>
        <w:t>3、拟派项目经理：拟派项目经理应具备具备公路工程二级及以上注册建造师资格，并拥有省级及以上交通运输主管部门核发的安全生产考核合格证书，为本单位在职人员（提供社保缴纳凭证），且未担任其他在建工程项目的项目经理</w:t>
      </w:r>
    </w:p>
    <w:p>
      <w:pPr>
        <w:pStyle w:val="null3"/>
      </w:pPr>
      <w:r>
        <w:rPr>
          <w:rFonts w:ascii="仿宋_GB2312" w:hAnsi="仿宋_GB2312" w:cs="仿宋_GB2312" w:eastAsia="仿宋_GB2312"/>
        </w:rPr>
        <w:t>4、备案信息：投标供应商、项目经理需在全国公路建设市场监督管理系统（https://hwdms.mot.gov.cn/BMWebSite/）注册，（提供证明材料）</w:t>
      </w:r>
    </w:p>
    <w:p>
      <w:pPr>
        <w:pStyle w:val="null3"/>
      </w:pPr>
      <w:r>
        <w:rPr>
          <w:rFonts w:ascii="仿宋_GB2312" w:hAnsi="仿宋_GB2312" w:cs="仿宋_GB2312" w:eastAsia="仿宋_GB2312"/>
        </w:rPr>
        <w:t>5、财务状况报告：供应商提供2025年度的财务审计报告（至少包括资产负债表、利润表和现金流量表及财务状况说明），或其开标前三个月内基本存款账户开户银行出具的资信证明及基本存款账户开户许可证</w:t>
      </w:r>
    </w:p>
    <w:p>
      <w:pPr>
        <w:pStyle w:val="null3"/>
      </w:pPr>
      <w:r>
        <w:rPr>
          <w:rFonts w:ascii="仿宋_GB2312" w:hAnsi="仿宋_GB2312" w:cs="仿宋_GB2312" w:eastAsia="仿宋_GB2312"/>
        </w:rPr>
        <w:t>6、社会保障资金缴纳证明：提供开标时间前六个月内至少一个月的社会保障资金缴存单据或社保机构开具的社会保险参保缴费情况证明，依法不需要缴纳社会保障资金的单位应提供相关证明材料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7、税收缴纳证明：提供开标时间前六个月内已缴纳的至少一个月的纳税证明或完税证明，依法免税的单位应提供相关证明材料</w:t>
      </w:r>
    </w:p>
    <w:p>
      <w:pPr>
        <w:pStyle w:val="null3"/>
      </w:pPr>
      <w:r>
        <w:rPr>
          <w:rFonts w:ascii="仿宋_GB2312" w:hAnsi="仿宋_GB2312" w:cs="仿宋_GB2312" w:eastAsia="仿宋_GB2312"/>
        </w:rPr>
        <w:t>8、信用记录：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w:t>
      </w:r>
    </w:p>
    <w:p>
      <w:pPr>
        <w:pStyle w:val="null3"/>
      </w:pPr>
      <w:r>
        <w:rPr>
          <w:rFonts w:ascii="仿宋_GB2312" w:hAnsi="仿宋_GB2312" w:cs="仿宋_GB2312" w:eastAsia="仿宋_GB2312"/>
        </w:rPr>
        <w:t>9、承诺：提供具有履行合同所必需的设备和专业技术能力的承诺</w:t>
      </w:r>
    </w:p>
    <w:p>
      <w:pPr>
        <w:pStyle w:val="null3"/>
      </w:pPr>
      <w:r>
        <w:rPr>
          <w:rFonts w:ascii="仿宋_GB2312" w:hAnsi="仿宋_GB2312" w:cs="仿宋_GB2312" w:eastAsia="仿宋_GB2312"/>
        </w:rPr>
        <w:t>10、法定代表人授权书：法定代表人直接参加投标，须提交法定代表人身份证明书和身份证。法定代表人授权代表参加投标的，须出具法定代表人授权书、授权代表身份证及社保缴纳凭证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西安市蓝田县交通运输局（本级）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蓝田县蓝关街道长坪路82号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029-82721341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18049033206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采购包1：615,888.66元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办法》（计价格[2002]1980号）和国家发改委《关于招标代理服务收费有关问题的通知》（发改办价格[2003]857号）的有关规定执⾏。造价咨询服务费按陕价行发〔2014〕88号文规定的收费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西安市蓝田县交通运输局（本级）</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西安市蓝田县交通运输局（本级）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西安市蓝田县交通运输局（本级）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联系人：田思</w:t>
      </w:r>
    </w:p>
    <w:p>
      <w:pPr>
        <w:pStyle w:val="null3"/>
      </w:pPr>
      <w:r>
        <w:rPr>
          <w:rFonts w:ascii="仿宋_GB2312" w:hAnsi="仿宋_GB2312" w:cs="仿宋_GB2312" w:eastAsia="仿宋_GB2312"/>
        </w:rPr>
        <w:t>联系电话：18049033206</w:t>
      </w:r>
    </w:p>
    <w:p>
      <w:pPr>
        <w:pStyle w:val="null3"/>
      </w:pPr>
      <w:r>
        <w:rPr>
          <w:rFonts w:ascii="仿宋_GB2312" w:hAnsi="仿宋_GB2312" w:cs="仿宋_GB2312" w:eastAsia="仿宋_GB2312"/>
        </w:rPr>
        <w:t>地址：西安经济技术开发区凤城七路长和国际D座26层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615,888.66</w:t>
      </w:r>
    </w:p>
    <w:p>
      <w:pPr>
        <w:pStyle w:val="null3"/>
      </w:pPr>
      <w:r>
        <w:rPr>
          <w:rFonts w:ascii="仿宋_GB2312" w:hAnsi="仿宋_GB2312" w:cs="仿宋_GB2312" w:eastAsia="仿宋_GB2312"/>
        </w:rPr>
        <w:t>采购包最高限价（元）: 615,888.66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蓝田县白鹿原文化村道路工程施工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615,888.66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标的名称：蓝田县白鹿原文化村道路工程施工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一、项目概况</w:t>
            </w:r>
          </w:p>
          <w:p>
            <w:pPr>
              <w:pStyle w:val="null3"/>
              <w:jc w:val="both"/>
            </w:pPr>
            <w:r>
              <w:rPr>
                <w:rFonts w:ascii="仿宋_GB2312" w:hAnsi="仿宋_GB2312" w:cs="仿宋_GB2312" w:eastAsia="仿宋_GB2312"/>
                <w:sz w:val="18"/>
              </w:rPr>
              <w:t>项目路线起点接蓝田印象道路，利用现状施工便道自东向西布线，于文化村内部道路平交后，向北沿现状3m内部道路布线，终点接信马川住宅区入口，路线全长0.315km。依据建设要求及项目实际情况，本项目采用小交通量农村公路四级公路(1类)技术标准，设计速度15km/h，路基宽6.5m，路面宽度6.0m。本次招标内容包含路基、路面、标志牌、标线、边沟等。</w:t>
            </w:r>
          </w:p>
          <w:p>
            <w:pPr>
              <w:pStyle w:val="null3"/>
              <w:jc w:val="both"/>
            </w:pPr>
            <w:r>
              <w:rPr>
                <w:rFonts w:ascii="仿宋_GB2312" w:hAnsi="仿宋_GB2312" w:cs="仿宋_GB2312" w:eastAsia="仿宋_GB2312"/>
                <w:sz w:val="18"/>
              </w:rPr>
              <w:t>二、质量要求</w:t>
            </w:r>
          </w:p>
          <w:p>
            <w:pPr>
              <w:pStyle w:val="null3"/>
              <w:jc w:val="both"/>
            </w:pPr>
            <w:r>
              <w:rPr>
                <w:rFonts w:ascii="仿宋_GB2312" w:hAnsi="仿宋_GB2312" w:cs="仿宋_GB2312" w:eastAsia="仿宋_GB2312"/>
                <w:sz w:val="18"/>
              </w:rPr>
              <w:t>合格（符合国家、行业的标准和有关规定），并达到采购人质量要求和交付使用标准。</w:t>
            </w:r>
          </w:p>
          <w:p>
            <w:pPr>
              <w:pStyle w:val="null3"/>
              <w:jc w:val="both"/>
            </w:pPr>
            <w:r>
              <w:rPr>
                <w:rFonts w:ascii="仿宋_GB2312" w:hAnsi="仿宋_GB2312" w:cs="仿宋_GB2312" w:eastAsia="仿宋_GB2312"/>
                <w:sz w:val="18"/>
              </w:rPr>
              <w:t>三、项目实施要求及质量保证</w:t>
            </w:r>
          </w:p>
          <w:p>
            <w:pPr>
              <w:pStyle w:val="null3"/>
              <w:jc w:val="both"/>
            </w:pPr>
            <w:r>
              <w:rPr>
                <w:rFonts w:ascii="仿宋_GB2312" w:hAnsi="仿宋_GB2312" w:cs="仿宋_GB2312" w:eastAsia="仿宋_GB2312"/>
                <w:sz w:val="18"/>
              </w:rPr>
              <w:t>1、供应商必须具备相应的资质，不得转包、分包。</w:t>
            </w:r>
          </w:p>
          <w:p>
            <w:pPr>
              <w:pStyle w:val="null3"/>
              <w:jc w:val="both"/>
            </w:pPr>
            <w:r>
              <w:rPr>
                <w:rFonts w:ascii="仿宋_GB2312" w:hAnsi="仿宋_GB2312" w:cs="仿宋_GB2312" w:eastAsia="仿宋_GB2312"/>
                <w:sz w:val="18"/>
              </w:rPr>
              <w:t>2、供应商根据工程实际情况编制施工方案，制定工期进度安排表。</w:t>
            </w:r>
          </w:p>
          <w:p>
            <w:pPr>
              <w:pStyle w:val="null3"/>
              <w:jc w:val="both"/>
            </w:pPr>
            <w:r>
              <w:rPr>
                <w:rFonts w:ascii="仿宋_GB2312" w:hAnsi="仿宋_GB2312" w:cs="仿宋_GB2312" w:eastAsia="仿宋_GB2312"/>
                <w:sz w:val="18"/>
              </w:rPr>
              <w:t>3、供应商在本工程中的项目经理，要求技术水平高、组织能力强、有丰富的工程业绩和实践经验，懂管理、善于协调。施工队伍稳定，保证整个工程顺利完工。</w:t>
            </w:r>
          </w:p>
          <w:p>
            <w:pPr>
              <w:pStyle w:val="null3"/>
              <w:jc w:val="both"/>
            </w:pPr>
            <w:r>
              <w:rPr>
                <w:rFonts w:ascii="仿宋_GB2312" w:hAnsi="仿宋_GB2312" w:cs="仿宋_GB2312" w:eastAsia="仿宋_GB2312"/>
                <w:sz w:val="18"/>
              </w:rPr>
              <w:t>4、施工过程中，严格遵守管理规定及规章制度，做到文明施工。发生工伤及意外事故由施工单位负责。</w:t>
            </w:r>
          </w:p>
          <w:p>
            <w:pPr>
              <w:pStyle w:val="null3"/>
              <w:jc w:val="both"/>
            </w:pPr>
            <w:r>
              <w:rPr>
                <w:rFonts w:ascii="仿宋_GB2312" w:hAnsi="仿宋_GB2312" w:cs="仿宋_GB2312" w:eastAsia="仿宋_GB2312"/>
                <w:sz w:val="18"/>
              </w:rPr>
              <w:t>5、供应商应遵守行业有关质量、安全法规和标准，严格按照施工图纸、施工技术规范和操作规程组织施工，并根据承担的工程任务以及所处的施工环境，制定相应的质量保证措施和施工安全措施，并责任到人。</w:t>
            </w:r>
          </w:p>
          <w:p>
            <w:pPr>
              <w:pStyle w:val="null3"/>
              <w:jc w:val="both"/>
            </w:pPr>
            <w:r>
              <w:rPr>
                <w:rFonts w:ascii="仿宋_GB2312" w:hAnsi="仿宋_GB2312" w:cs="仿宋_GB2312" w:eastAsia="仿宋_GB2312"/>
                <w:sz w:val="18"/>
              </w:rPr>
              <w:t>6、严格按照国家和省级有关规定施工、规范施工，确保工程合格，如有更改须事先征得有关方面的同意，并在采购人落实后实施，并出具书面说明。</w:t>
            </w:r>
          </w:p>
          <w:p>
            <w:pPr>
              <w:pStyle w:val="null3"/>
              <w:jc w:val="both"/>
            </w:pPr>
            <w:r>
              <w:rPr>
                <w:rFonts w:ascii="仿宋_GB2312" w:hAnsi="仿宋_GB2312" w:cs="仿宋_GB2312" w:eastAsia="仿宋_GB2312"/>
                <w:sz w:val="18"/>
              </w:rPr>
              <w:t>7、所有进场材料需携带合格证等质量证明文件。由采购人现场代表对所进场材料予以验收并确认。</w:t>
            </w:r>
          </w:p>
          <w:p>
            <w:pPr>
              <w:pStyle w:val="null3"/>
              <w:jc w:val="both"/>
            </w:pPr>
            <w:r>
              <w:rPr>
                <w:rFonts w:ascii="仿宋_GB2312" w:hAnsi="仿宋_GB2312" w:cs="仿宋_GB2312" w:eastAsia="仿宋_GB2312"/>
                <w:sz w:val="18"/>
              </w:rPr>
              <w:t>8、</w:t>
            </w:r>
            <w:r>
              <w:rPr>
                <w:rFonts w:ascii="仿宋_GB2312" w:hAnsi="仿宋_GB2312" w:cs="仿宋_GB2312" w:eastAsia="仿宋_GB2312"/>
                <w:sz w:val="18"/>
              </w:rPr>
              <w:t>施工方未经采购人同意，不得擅自更换本工程在磋商响应文件中指定的项目经理及施工队伍。</w:t>
            </w:r>
          </w:p>
          <w:p>
            <w:pPr>
              <w:pStyle w:val="null3"/>
            </w:pPr>
            <w:r>
              <w:rPr>
                <w:rFonts w:ascii="仿宋_GB2312" w:hAnsi="仿宋_GB2312" w:cs="仿宋_GB2312" w:eastAsia="仿宋_GB2312"/>
                <w:sz w:val="18"/>
              </w:rPr>
              <w:t>9、工程质量保修期符合相关法律法规及行业规范。施工单位的售后服务要完善、可靠、及时，并派遣相关技术人员配合采购人检查、维修。</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在施工期间，成交供应商必须注意人员安全，加强安全措施，并对施工人员进行安全教育。施工人员必须持证上岗。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1、工期：自合同签订之日起60日历天； 2、缺陷责任期：1年；3、暂列金额：本项目暂列金额按100章至700章合计的3%计取；4、成交供应商在领取成交通知书前，须向采购代理机构提供纸质版响应文件3套（1正2副），提供的响应文件必须与在陕西省政府采购综合管理平台的项目电子化交易系统中提交的电子响应文件内容一致，纸质版响应文件必须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的财务审计报告（至少包括资产负债表、利润表和现金流量表及财务状况说明），或其开标前三个月内基本存款账户开户银行出具的资信证明及基本存款账户开户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供应商应具备公路工程施工总承包三级以上(含三级)资质，并具备有效的安全生产许可证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应具备具备公路工程二级及以上注册建造师资格，并拥有省级及以上交通运输主管部门核发的安全生产考核合格证书，为本单位在职人员（提供社保缴纳凭证），且未担任其他在建工程项目的项目经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备案信息</w:t>
            </w:r>
          </w:p>
        </w:tc>
        <w:tc>
          <w:tcPr>
            <w:tcW w:type="dxa" w:w="3322"/>
          </w:tcPr>
          <w:p>
            <w:pPr>
              <w:pStyle w:val="null3"/>
            </w:pPr>
            <w:r>
              <w:rPr>
                <w:rFonts w:ascii="仿宋_GB2312" w:hAnsi="仿宋_GB2312" w:cs="仿宋_GB2312" w:eastAsia="仿宋_GB2312"/>
              </w:rPr>
              <w:t>投标供应商、项目经理需在全国公路建设市场监督管理系统（https://hwdms.mot.gov.cn/BMWebSite/）注册，（提供证明材料）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供应商提供2025年度的财务审计报告（至少包括资产负债表、利润表和现金流量表及财务状况说明），或其开标前三个月内基本存款账户开户银行出具的资信证明及基本存款账户开户许可证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法定代表人直接参加投标，须提交法定代表人身份证明书和身份证。法定代表人授权代表参加投标的，须出具法定代表人授权书、授权代表身份证及社保缴纳凭证</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响应文件要求加盖单位公章及法定代表人或被授权委托人签字或盖章的地方均应加盖</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投标人应提交的相关资格证明材料.docx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从提交竞争性磋商响应文件的截止之日起不少于90日历天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满足竞争性磋商文件中要求的工期</w:t>
            </w:r>
          </w:p>
        </w:tc>
        <w:tc>
          <w:tcPr>
            <w:tcW w:type="dxa" w:w="1661"/>
          </w:tcPr>
          <w:p>
            <w:pPr>
              <w:pStyle w:val="null3"/>
            </w:pPr>
            <w:r>
              <w:rPr>
                <w:rFonts w:ascii="仿宋_GB2312" w:hAnsi="仿宋_GB2312" w:cs="仿宋_GB2312" w:eastAsia="仿宋_GB2312"/>
              </w:rPr>
              <w:t>报价函 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投标人应提交的相关资格证明材料.docx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1、评审内容：①施工总平面布置；②施工阶段划分及施工顺序安排；③资源配备计划：主要施工机械设备、劳动力等配备计划及主材进场计划； 2、评审标准：以上内容专门针对本项目且阐述明晰、全面、合理得6分，每缺一项内容扣2分，若上述内容存在缺陷，每存在1处缺陷扣1分，扣完为止。未提供不得分。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①项目整体实施方案；②施工方法及相关技术措施；③项目实施重难点分析及解决措施；④施工现场管理措施；⑤农民工工资保障；⑥合同及施工资料的管理。2、评审标准：以上内容专门针对本项目且阐述明晰、全面、合理得18分，每缺一项内容扣3分，若上述内容存在缺陷，每存在1处缺陷扣1分，扣完为止。未提供不得分。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1、评审内容：①工程质量管理工作流程；②工程质量保障方案；③工程质量控制体系；④施工检测及工序交验方案。 2、评审标准： 以上内容专门针对本项目且阐述明晰、全面、合理得8分，每缺一项内容扣2分，若上述内容存在缺陷，每存在1处缺陷扣1分，扣完为止。未提供不得分。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1、评审内容： ①文明及环境保护管理制度；②防尘降噪措施；③节能减排措施；④文明及环境保护施工监督检查机制。 2、评审标准： 以上内容专门针对本项目且阐述明晰、全面、合理得8分，每缺一项内容扣2分，若上述内容存在缺陷，每存在1处缺陷扣1分，扣完为止。未提供不得分。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1、评审内容：①安全生产管理制度；②配置安全组织机构；③安全隐患排查、整改制度；④应急救援机制。2、评审标准：以上内容专门针对本项目且阐述明晰、全面、合理得 8 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1、评审内容：①工期管理制度；②工期保证措施；③节点工期的控制措施；④进度保障措施。2、评审标准： 以上内容专门针对本项目且阐述明晰、全面、合理得 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1、评审内容：①项目管理机构图；②岗位安排及职责；③人员管理制度；④相应的人员协调措施。 2、评审标准： 以上内容专门针对本项目且阐述明晰、全面、合理得8 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提供供应商2023年6月1日至今类似项目业绩（以加盖公章的合同签订时间为准）每个计2分，最高得6分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采用低价优先法计算，即满足招标文件要求且投标价格最低的投标报价为评标基准价，其价格分为满分。投标报价得分＝（评标基准价/投标报价）×30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